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56082"/>
          <w:sz w:val="20"/>
          <w:szCs w:val="20"/>
          <w:rtl w:val="0"/>
        </w:rPr>
        <w:t xml:space="preserve">SME BUSINESS CONTINUITY TOOLKIT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How to Use This Toolkit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color w:val="666666"/>
          <w:sz w:val="24"/>
          <w:szCs w:val="24"/>
          <w:rtl w:val="0"/>
        </w:rPr>
        <w:t xml:space="preserve">A simple route from understanding priorities to testing practical arrangements</w:t>
      </w:r>
      <w:r w:rsidDel="00000000" w:rsidR="00000000" w:rsidRPr="00000000">
        <w:rPr>
          <w:rtl w:val="0"/>
        </w:rPr>
      </w:r>
    </w:p>
    <w:tbl>
      <w:tblPr>
        <w:tblStyle w:val="Table1"/>
        <w:tblW w:w="10224.0" w:type="dxa"/>
        <w:jc w:val="center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156082" w:val="clear"/>
            <w:tcMar>
              <w:top w:w="140.0" w:type="dxa"/>
              <w:bottom w:w="14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Start small. Focus first on protecting people and maintaining the products and services that matter most.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left"/>
        <w:tblInd w:w="-150.0" w:type="dxa"/>
        <w:tblLayout w:type="fixed"/>
        <w:tblLook w:val="04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fff2cc" w:val="clear"/>
            <w:tcMar>
              <w:top w:w="120.0" w:type="dxa"/>
              <w:left w:w="150.0" w:type="dxa"/>
              <w:bottom w:w="120.0" w:type="dxa"/>
              <w:right w:w="15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color w:val="1f1f1f"/>
                <w:rtl w:val="0"/>
              </w:rPr>
              <w:t xml:space="preserve">Important: This toolkit provides general business continuity guidance. Each organisation remains responsible for its own legal, regulatory, contractual, insurance, information security, health and safety and sector-specific requirements.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Recommended order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Nominate a business continuity lead and deputy.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vertAlign w:val="baseline"/>
          <w:rtl w:val="0"/>
        </w:rPr>
        <w:t xml:space="preserve">Read the short guidance handbook.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Adapt and approve the Business Continuity and Resilience Policy.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Complete the Business Impact Assessment for priority activities.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Use the BIA findings to complete the Business Continuity Plan.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Complete a building plan if loss of a particular site would cause significant disruption.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Use the implementation checklist to identify gaps and assign actions.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Brief staff and make essential information available away from the normal workplace and IT.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Test one realistic scenario or workaround.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59" w:lineRule="auto"/>
        <w:ind w:left="360" w:right="0" w:hanging="36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1f1f1f"/>
          <w:sz w:val="20"/>
          <w:szCs w:val="20"/>
          <w:u w:val="none"/>
          <w:shd w:fill="auto" w:val="clear"/>
          <w:vertAlign w:val="baseline"/>
          <w:rtl w:val="0"/>
        </w:rPr>
        <w:t xml:space="preserve">Record improvements and review at least annually and after change, disruption, a near miss or an exercise.</w:t>
      </w:r>
    </w:p>
    <w:p w:rsidR="00000000" w:rsidDel="00000000" w:rsidP="00000000" w:rsidRDefault="00000000" w:rsidRPr="00000000" w14:paraId="00000012">
      <w:pPr>
        <w:pStyle w:val="Heading1"/>
        <w:rPr/>
      </w:pPr>
      <w:r w:rsidDel="00000000" w:rsidR="00000000" w:rsidRPr="00000000">
        <w:rPr>
          <w:rtl w:val="0"/>
        </w:rPr>
        <w:t xml:space="preserve">What this toolkit provides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These documents are self-help templates and general guidance. Unless a separate written arrangement states otherwise, they do not approve completed plans, transfer responsibility for continuity arrangements, or guarantee operational support during a business disruption.</w:t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Choose the documents you need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2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12"/>
        <w:gridCol w:w="5112"/>
        <w:tblGridChange w:id="0">
          <w:tblGrid>
            <w:gridCol w:w="5112"/>
            <w:gridCol w:w="5112"/>
          </w:tblGrid>
        </w:tblGridChange>
      </w:tblGrid>
      <w:tr>
        <w:trPr>
          <w:cantSplit w:val="0"/>
          <w:tblHeader w:val="1"/>
        </w:trPr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Document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56082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Use it for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Guidance handbook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Understanding practical business continuity and the key terms.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Policy and strategy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Setting leadership commitment, responsibilities and expectations.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Business Impact Assessment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Identifying priority activities, impacts, dependencies and recovery needs.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Business Continuity Plan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Recording activation, contacts, actions, workarounds and communications.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Building plan</w:t>
            </w:r>
          </w:p>
        </w:tc>
        <w:tc>
          <w:tcPr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Managing disruption affecting access to or use of a site.</w:t>
            </w:r>
          </w:p>
        </w:tc>
      </w:tr>
      <w:tr>
        <w:trPr>
          <w:cantSplit w:val="0"/>
          <w:tblHeader w:val="0"/>
        </w:trPr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Implementation checklist</w:t>
            </w:r>
          </w:p>
        </w:tc>
        <w:tc>
          <w:tcPr>
            <w:shd w:fill="f3f7fa" w:val="clear"/>
            <w:tcMar>
              <w:top w:w="100.0" w:type="dxa"/>
              <w:bottom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Tracking safeguards, testing, evidence and improvement actions.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e6e6e6" w:space="0" w:sz="4" w:val="single"/>
              <w:left w:color="e6e6e6" w:space="0" w:sz="4" w:val="single"/>
              <w:bottom w:color="e6e6e6" w:space="0" w:sz="4" w:val="single"/>
              <w:right w:color="e6e6e6" w:space="0" w:sz="4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Daily Business Resilience Toolkit</w:t>
            </w:r>
          </w:p>
        </w:tc>
        <w:tc>
          <w:tcPr>
            <w:tcBorders>
              <w:top w:color="e6e6e6" w:space="0" w:sz="4" w:val="single"/>
              <w:left w:color="e6e6e6" w:space="0" w:sz="4" w:val="single"/>
              <w:bottom w:color="e6e6e6" w:space="0" w:sz="4" w:val="single"/>
              <w:right w:color="e6e6e6" w:space="0" w:sz="4" w:val="single"/>
            </w:tcBorders>
            <w:tcMar>
              <w:top w:w="20.0" w:type="dxa"/>
              <w:left w:w="20.0" w:type="dxa"/>
              <w:bottom w:w="2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Exploring wider financial, commercial, supply chain, workforce, cyber, strategic and leadership resilience after the organisation has established its core continuity arrangements.</w:t>
            </w:r>
          </w:p>
          <w:p w:rsidR="00000000" w:rsidDel="00000000" w:rsidP="00000000" w:rsidRDefault="00000000" w:rsidRPr="00000000" w14:paraId="00000028">
            <w:pPr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/>
      </w:pPr>
      <w:r w:rsidDel="00000000" w:rsidR="00000000" w:rsidRPr="00000000">
        <w:rPr>
          <w:rtl w:val="0"/>
        </w:rPr>
        <w:t xml:space="preserve">Sector and assurance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☐  Confirm any care, safeguarding, food safety, health, financial, education, transport, hazardous material or other sector obligations.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☐  Check contractual, commissioned-service, insurer and regulator expectations.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☐  Protect personal, security and system-access information.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☐  Seek competent professional advice where the organisation lacks the expertise to assess a material risk.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rPr>
          <w:sz w:val="33"/>
          <w:szCs w:val="33"/>
        </w:rPr>
      </w:pPr>
      <w:bookmarkStart w:colFirst="0" w:colLast="0" w:name="_heading=h.kmciox5pqkzp" w:id="0"/>
      <w:bookmarkEnd w:id="0"/>
      <w:r w:rsidDel="00000000" w:rsidR="00000000" w:rsidRPr="00000000">
        <w:rPr>
          <w:sz w:val="33"/>
          <w:szCs w:val="33"/>
          <w:rtl w:val="0"/>
        </w:rPr>
        <w:t xml:space="preserve">Risks that could affect your business could include: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fire</w:t>
      </w:r>
    </w:p>
    <w:p w:rsidR="00000000" w:rsidDel="00000000" w:rsidP="00000000" w:rsidRDefault="00000000" w:rsidRPr="00000000" w14:paraId="00000032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flood</w:t>
      </w:r>
    </w:p>
    <w:p w:rsidR="00000000" w:rsidDel="00000000" w:rsidP="00000000" w:rsidRDefault="00000000" w:rsidRPr="00000000" w14:paraId="00000033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power failure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water loss</w:t>
      </w:r>
    </w:p>
    <w:p w:rsidR="00000000" w:rsidDel="00000000" w:rsidP="00000000" w:rsidRDefault="00000000" w:rsidRPr="00000000" w14:paraId="00000035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heating failure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loss of access</w:t>
      </w:r>
    </w:p>
    <w:p w:rsidR="00000000" w:rsidDel="00000000" w:rsidP="00000000" w:rsidRDefault="00000000" w:rsidRPr="00000000" w14:paraId="00000037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structural issue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severe weather</w:t>
      </w:r>
    </w:p>
    <w:p w:rsidR="00000000" w:rsidDel="00000000" w:rsidP="00000000" w:rsidRDefault="00000000" w:rsidRPr="00000000" w14:paraId="00000039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security incident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ICT outage affecting the building</w:t>
      </w:r>
    </w:p>
    <w:p w:rsidR="00000000" w:rsidDel="00000000" w:rsidP="00000000" w:rsidRDefault="00000000" w:rsidRPr="00000000" w14:paraId="0000003B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lift/accessibility issue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local transport disruption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loss of key facilities such as toilets, meeting rooms or specialist equipment</w:t>
      </w:r>
    </w:p>
    <w:p w:rsidR="00000000" w:rsidDel="00000000" w:rsidP="00000000" w:rsidRDefault="00000000" w:rsidRPr="00000000" w14:paraId="0000003E">
      <w:pPr>
        <w:rPr>
          <w:b w:val="1"/>
          <w:bCs w:val="1"/>
          <w:color w:val="1c4587"/>
        </w:rPr>
      </w:pPr>
      <w:r w:rsidDel="00000000" w:rsidR="00000000" w:rsidRPr="00000000">
        <w:rPr>
          <w:b w:val="1"/>
          <w:bCs w:val="1"/>
          <w:color w:val="1c4587"/>
          <w:rtl w:val="0"/>
        </w:rPr>
        <w:t xml:space="preserve">Not all incidents can be planned for but using this toolkit can support your preparedness.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936" w:top="93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66666"/>
        <w:sz w:val="16"/>
        <w:szCs w:val="16"/>
        <w:u w:val="none"/>
        <w:shd w:fill="auto" w:val="clear"/>
        <w:vertAlign w:val="baseline"/>
        <w:rtl w:val="0"/>
      </w:rPr>
      <w:t xml:space="preserve">Practical resilience template | Review and adapt locally | </w:t>
    </w: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f1f1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156082"/>
        <w:sz w:val="16"/>
        <w:szCs w:val="16"/>
        <w:u w:val="none"/>
        <w:shd w:fill="auto" w:val="clear"/>
        <w:vertAlign w:val="baseline"/>
        <w:rtl w:val="0"/>
      </w:rPr>
      <w:t xml:space="preserve">SME Business Continuity Toolkit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1f1f"/>
        <w:lang w:val="en"/>
      </w:rPr>
    </w:rPrDefault>
    <w:pPrDefault>
      <w:pPr>
        <w:spacing w:after="10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5608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56082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Rule="auto"/>
    </w:pPr>
    <w:rPr>
      <w:rFonts w:ascii="Play" w:cs="Play" w:eastAsia="Play" w:hAnsi="Play"/>
      <w:b w:val="1"/>
      <w:bCs w:val="1"/>
      <w:color w:val="1f1f1f"/>
      <w:sz w:val="21"/>
      <w:szCs w:val="2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100" w:before="200" w:line="240" w:lineRule="auto"/>
    </w:pPr>
    <w:rPr>
      <w:rFonts w:ascii="Play" w:cs="Play" w:eastAsia="Play" w:hAnsi="Play"/>
      <w:b w:val="1"/>
      <w:bCs w:val="1"/>
      <w:color w:val="156082"/>
      <w:sz w:val="48"/>
      <w:szCs w:val="48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mallNote" w:customStyle="1">
    <w:name w:val="Small Note"/>
    <w:rPr>
      <w:rFonts w:ascii="Aptos" w:hAnsi="Aptos"/>
      <w:color w:val="666666"/>
      <w:sz w:val="1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rhW4pyepib62algPXLqXqsEf5Q==">CgMxLjAyDmgua21jaW94NXBxa3pwOAByITFSZW84WGVQamx6VUNibUttVXVMV1VZOTlZdmI1QlM1Tg==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2026-09-02T10:33:26.9627469Z</dcterms:created>
  <dc:creator>Gill Muncaster (JEPU)</dc:creator>
</cp:coreProperties>
</file>