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156082"/>
          <w:sz w:val="20"/>
          <w:szCs w:val="20"/>
          <w:rtl w:val="0"/>
        </w:rPr>
        <w:t xml:space="preserve">SME BUSINESS CONTINUITY TOOLKIT</w:t>
      </w:r>
      <w:r w:rsidDel="00000000" w:rsidR="00000000" w:rsidRPr="00000000">
        <w:rPr>
          <w:rtl w:val="0"/>
        </w:rPr>
      </w:r>
    </w:p>
    <w:p w:rsidR="00000000" w:rsidDel="00000000" w:rsidP="00000000" w:rsidRDefault="00000000" w:rsidRPr="00000000" w14:paraId="00000002">
      <w:pPr>
        <w:pStyle w:val="Title"/>
        <w:jc w:val="center"/>
        <w:rPr/>
      </w:pPr>
      <w:r w:rsidDel="00000000" w:rsidR="00000000" w:rsidRPr="00000000">
        <w:rPr>
          <w:rtl w:val="0"/>
        </w:rPr>
        <w:t xml:space="preserve">Business Continuity and Resilience Policy</w:t>
      </w:r>
    </w:p>
    <w:p w:rsidR="00000000" w:rsidDel="00000000" w:rsidP="00000000" w:rsidRDefault="00000000" w:rsidRPr="00000000" w14:paraId="00000003">
      <w:pPr>
        <w:jc w:val="center"/>
        <w:rPr/>
      </w:pPr>
      <w:r w:rsidDel="00000000" w:rsidR="00000000" w:rsidRPr="00000000">
        <w:rPr>
          <w:i w:val="1"/>
          <w:iCs w:val="1"/>
          <w:color w:val="666666"/>
          <w:sz w:val="24"/>
          <w:szCs w:val="24"/>
          <w:rtl w:val="0"/>
        </w:rPr>
        <w:t xml:space="preserve">Template for small and medium-sized organisations</w:t>
      </w:r>
      <w:r w:rsidDel="00000000" w:rsidR="00000000" w:rsidRPr="00000000">
        <w:rPr>
          <w:rtl w:val="0"/>
        </w:rPr>
      </w:r>
    </w:p>
    <w:tbl>
      <w:tblPr>
        <w:tblStyle w:val="Table1"/>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8"/>
        <w:gridCol w:w="3408"/>
        <w:gridCol w:w="3408"/>
        <w:tblGridChange w:id="0">
          <w:tblGrid>
            <w:gridCol w:w="3408"/>
            <w:gridCol w:w="3408"/>
            <w:gridCol w:w="3408"/>
          </w:tblGrid>
        </w:tblGridChange>
      </w:tblGrid>
      <w:tr>
        <w:trPr>
          <w:cantSplit w:val="0"/>
          <w:tblHeader w:val="1"/>
        </w:trPr>
        <w:tc>
          <w:tcPr>
            <w:shd w:fill="156082" w:val="clear"/>
            <w:tcMar>
              <w:top w:w="100.0" w:type="dxa"/>
              <w:bottom w:w="100.0" w:type="dxa"/>
            </w:tcMar>
          </w:tcPr>
          <w:p w:rsidR="00000000" w:rsidDel="00000000" w:rsidP="00000000" w:rsidRDefault="00000000" w:rsidRPr="00000000" w14:paraId="00000004">
            <w:pPr>
              <w:jc w:val="center"/>
              <w:rPr/>
            </w:pPr>
            <w:r w:rsidDel="00000000" w:rsidR="00000000" w:rsidRPr="00000000">
              <w:rPr>
                <w:b w:val="1"/>
                <w:bCs w:val="1"/>
                <w:color w:val="ffffff"/>
                <w:rtl w:val="0"/>
              </w:rPr>
              <w:t xml:space="preserve">Business / organisation</w:t>
            </w:r>
            <w:r w:rsidDel="00000000" w:rsidR="00000000" w:rsidRPr="00000000">
              <w:rPr>
                <w:rtl w:val="0"/>
              </w:rPr>
            </w:r>
          </w:p>
        </w:tc>
        <w:tc>
          <w:tcPr>
            <w:shd w:fill="156082" w:val="clear"/>
            <w:tcMar>
              <w:top w:w="100.0" w:type="dxa"/>
              <w:bottom w:w="100.0" w:type="dxa"/>
            </w:tcMar>
          </w:tcPr>
          <w:p w:rsidR="00000000" w:rsidDel="00000000" w:rsidP="00000000" w:rsidRDefault="00000000" w:rsidRPr="00000000" w14:paraId="00000005">
            <w:pPr>
              <w:jc w:val="center"/>
              <w:rPr/>
            </w:pPr>
            <w:r w:rsidDel="00000000" w:rsidR="00000000" w:rsidRPr="00000000">
              <w:rPr>
                <w:b w:val="1"/>
                <w:bCs w:val="1"/>
                <w:color w:val="ffffff"/>
                <w:rtl w:val="0"/>
              </w:rPr>
              <w:t xml:space="preserve">Document owner</w:t>
            </w:r>
            <w:r w:rsidDel="00000000" w:rsidR="00000000" w:rsidRPr="00000000">
              <w:rPr>
                <w:rtl w:val="0"/>
              </w:rPr>
            </w:r>
          </w:p>
        </w:tc>
        <w:tc>
          <w:tcPr>
            <w:shd w:fill="156082" w:val="clear"/>
            <w:tcMar>
              <w:top w:w="100.0" w:type="dxa"/>
              <w:bottom w:w="100.0" w:type="dxa"/>
            </w:tcMar>
          </w:tcPr>
          <w:p w:rsidR="00000000" w:rsidDel="00000000" w:rsidP="00000000" w:rsidRDefault="00000000" w:rsidRPr="00000000" w14:paraId="00000006">
            <w:pPr>
              <w:jc w:val="center"/>
              <w:rPr/>
            </w:pPr>
            <w:r w:rsidDel="00000000" w:rsidR="00000000" w:rsidRPr="00000000">
              <w:rPr>
                <w:b w:val="1"/>
                <w:bCs w:val="1"/>
                <w:color w:val="ffffff"/>
                <w:rtl w:val="0"/>
              </w:rPr>
              <w:t xml:space="preserve">Approved by</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07">
            <w:pPr>
              <w:rPr/>
            </w:pPr>
            <w:r w:rsidDel="00000000" w:rsidR="00000000" w:rsidRPr="00000000">
              <w:rPr>
                <w:rtl w:val="0"/>
              </w:rPr>
              <w:t xml:space="preserve">[Complete]</w:t>
            </w:r>
          </w:p>
        </w:tc>
        <w:tc>
          <w:tcPr>
            <w:tcMar>
              <w:top w:w="100.0" w:type="dxa"/>
              <w:bottom w:w="100.0" w:type="dxa"/>
            </w:tcMar>
            <w:vAlign w:val="center"/>
          </w:tcPr>
          <w:p w:rsidR="00000000" w:rsidDel="00000000" w:rsidP="00000000" w:rsidRDefault="00000000" w:rsidRPr="00000000" w14:paraId="00000008">
            <w:pPr>
              <w:rPr/>
            </w:pPr>
            <w:r w:rsidDel="00000000" w:rsidR="00000000" w:rsidRPr="00000000">
              <w:rPr>
                <w:rtl w:val="0"/>
              </w:rPr>
              <w:t xml:space="preserve">[Complete]</w:t>
            </w:r>
          </w:p>
        </w:tc>
        <w:tc>
          <w:tcPr>
            <w:tcMar>
              <w:top w:w="100.0" w:type="dxa"/>
              <w:bottom w:w="100.0" w:type="dxa"/>
            </w:tcMar>
            <w:vAlign w:val="center"/>
          </w:tcPr>
          <w:p w:rsidR="00000000" w:rsidDel="00000000" w:rsidP="00000000" w:rsidRDefault="00000000" w:rsidRPr="00000000" w14:paraId="00000009">
            <w:pPr>
              <w:rPr/>
            </w:pPr>
            <w:r w:rsidDel="00000000" w:rsidR="00000000" w:rsidRPr="00000000">
              <w:rPr>
                <w:rtl w:val="0"/>
              </w:rPr>
              <w:t xml:space="preserve">[Complete]</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0A">
            <w:pPr>
              <w:rPr/>
            </w:pPr>
            <w:r w:rsidDel="00000000" w:rsidR="00000000" w:rsidRPr="00000000">
              <w:rPr>
                <w:rtl w:val="0"/>
              </w:rPr>
              <w:t xml:space="preserve">Version: [Complete]</w:t>
            </w:r>
          </w:p>
        </w:tc>
        <w:tc>
          <w:tcPr>
            <w:shd w:fill="f3f7fa" w:val="clear"/>
            <w:tcMar>
              <w:top w:w="100.0" w:type="dxa"/>
              <w:bottom w:w="100.0" w:type="dxa"/>
            </w:tcMar>
            <w:vAlign w:val="center"/>
          </w:tcPr>
          <w:p w:rsidR="00000000" w:rsidDel="00000000" w:rsidP="00000000" w:rsidRDefault="00000000" w:rsidRPr="00000000" w14:paraId="0000000B">
            <w:pPr>
              <w:rPr/>
            </w:pPr>
            <w:r w:rsidDel="00000000" w:rsidR="00000000" w:rsidRPr="00000000">
              <w:rPr>
                <w:rtl w:val="0"/>
              </w:rPr>
              <w:t xml:space="preserve">Approval date: [Complete]</w:t>
            </w:r>
          </w:p>
        </w:tc>
        <w:tc>
          <w:tcPr>
            <w:shd w:fill="f3f7fa" w:val="clear"/>
            <w:tcMar>
              <w:top w:w="100.0" w:type="dxa"/>
              <w:bottom w:w="100.0" w:type="dxa"/>
            </w:tcMar>
            <w:vAlign w:val="center"/>
          </w:tcPr>
          <w:p w:rsidR="00000000" w:rsidDel="00000000" w:rsidP="00000000" w:rsidRDefault="00000000" w:rsidRPr="00000000" w14:paraId="0000000C">
            <w:pPr>
              <w:rPr/>
            </w:pPr>
            <w:r w:rsidDel="00000000" w:rsidR="00000000" w:rsidRPr="00000000">
              <w:rPr>
                <w:rtl w:val="0"/>
              </w:rPr>
              <w:t xml:space="preserve">Next review: [Complete]</w:t>
            </w:r>
          </w:p>
        </w:tc>
      </w:tr>
    </w:tbl>
    <w:p w:rsidR="00000000" w:rsidDel="00000000" w:rsidP="00000000" w:rsidRDefault="00000000" w:rsidRPr="00000000" w14:paraId="0000000D">
      <w:pPr>
        <w:spacing w:after="20" w:lineRule="auto"/>
        <w:rPr/>
      </w:pPr>
      <w:r w:rsidDel="00000000" w:rsidR="00000000" w:rsidRPr="00000000">
        <w:rPr>
          <w:rtl w:val="0"/>
        </w:rPr>
      </w:r>
    </w:p>
    <w:tbl>
      <w:tblPr>
        <w:tblStyle w:val="Table2"/>
        <w:tblW w:w="10224.0" w:type="dxa"/>
        <w:jc w:val="center"/>
        <w:tblLayout w:type="fixed"/>
        <w:tblLook w:val="0400"/>
      </w:tblPr>
      <w:tblGrid>
        <w:gridCol w:w="10224"/>
        <w:tblGridChange w:id="0">
          <w:tblGrid>
            <w:gridCol w:w="10224"/>
          </w:tblGrid>
        </w:tblGridChange>
      </w:tblGrid>
      <w:tr>
        <w:trPr>
          <w:cantSplit w:val="0"/>
          <w:tblHeader w:val="0"/>
        </w:trPr>
        <w:tc>
          <w:tcPr>
            <w:shd w:fill="156082" w:val="clear"/>
            <w:tcMar>
              <w:top w:w="140.0" w:type="dxa"/>
              <w:bottom w:w="140.0" w:type="dxa"/>
            </w:tcMar>
            <w:vAlign w:val="center"/>
          </w:tcPr>
          <w:p w:rsidR="00000000" w:rsidDel="00000000" w:rsidP="00000000" w:rsidRDefault="00000000" w:rsidRPr="00000000" w14:paraId="0000000E">
            <w:pPr>
              <w:jc w:val="center"/>
              <w:rPr/>
            </w:pPr>
            <w:r w:rsidDel="00000000" w:rsidR="00000000" w:rsidRPr="00000000">
              <w:rPr>
                <w:b w:val="1"/>
                <w:bCs w:val="1"/>
                <w:color w:val="ffffff"/>
                <w:rtl w:val="0"/>
              </w:rPr>
              <w:t xml:space="preserve">Practical resilience means understanding what matters most and being ready to adapt when something goes wrong.</w:t>
            </w:r>
            <w:r w:rsidDel="00000000" w:rsidR="00000000" w:rsidRPr="00000000">
              <w:rPr>
                <w:rtl w:val="0"/>
              </w:rPr>
            </w:r>
          </w:p>
        </w:tc>
      </w:tr>
    </w:tbl>
    <w:p w:rsidR="00000000" w:rsidDel="00000000" w:rsidP="00000000" w:rsidRDefault="00000000" w:rsidRPr="00000000" w14:paraId="0000000F">
      <w:pPr>
        <w:spacing w:after="0" w:lineRule="auto"/>
        <w:rPr/>
      </w:pPr>
      <w:r w:rsidDel="00000000" w:rsidR="00000000" w:rsidRPr="00000000">
        <w:rPr>
          <w:rtl w:val="0"/>
        </w:rPr>
      </w:r>
    </w:p>
    <w:tbl>
      <w:tblPr>
        <w:tblStyle w:val="Table3"/>
        <w:tblW w:w="10224.0" w:type="dxa"/>
        <w:jc w:val="left"/>
        <w:tblInd w:w="-150.0" w:type="dxa"/>
        <w:tblLayout w:type="fixed"/>
        <w:tblLook w:val="0400"/>
      </w:tblPr>
      <w:tblGrid>
        <w:gridCol w:w="10224"/>
        <w:tblGridChange w:id="0">
          <w:tblGrid>
            <w:gridCol w:w="10224"/>
          </w:tblGrid>
        </w:tblGridChange>
      </w:tblGrid>
      <w:tr>
        <w:trPr>
          <w:cantSplit w:val="0"/>
          <w:tblHeader w:val="0"/>
        </w:trPr>
        <w:tc>
          <w:tcPr>
            <w:shd w:fill="fff2cc" w:val="clear"/>
            <w:tcMar>
              <w:top w:w="120.0" w:type="dxa"/>
              <w:left w:w="150.0" w:type="dxa"/>
              <w:bottom w:w="120.0" w:type="dxa"/>
              <w:right w:w="150.0" w:type="dxa"/>
            </w:tcMar>
          </w:tcPr>
          <w:p w:rsidR="00000000" w:rsidDel="00000000" w:rsidP="00000000" w:rsidRDefault="00000000" w:rsidRPr="00000000" w14:paraId="00000010">
            <w:pPr>
              <w:rPr/>
            </w:pPr>
            <w:r w:rsidDel="00000000" w:rsidR="00000000" w:rsidRPr="00000000">
              <w:rPr>
                <w:b w:val="1"/>
                <w:bCs w:val="1"/>
                <w:color w:val="1f1f1f"/>
                <w:rtl w:val="0"/>
              </w:rPr>
              <w:t xml:space="preserve">Important: This toolkit provides general business continuity guidance. Each organisation remains responsible for its own legal, regulatory, contractual, insurance, information security, health and safety and sector-specific requirements.</w:t>
            </w:r>
            <w:r w:rsidDel="00000000" w:rsidR="00000000" w:rsidRPr="00000000">
              <w:rPr>
                <w:rtl w:val="0"/>
              </w:rPr>
            </w:r>
          </w:p>
        </w:tc>
      </w:tr>
    </w:tbl>
    <w:p w:rsidR="00000000" w:rsidDel="00000000" w:rsidP="00000000" w:rsidRDefault="00000000" w:rsidRPr="00000000" w14:paraId="00000011">
      <w:pPr>
        <w:pStyle w:val="Heading1"/>
        <w:rPr/>
      </w:pPr>
      <w:r w:rsidDel="00000000" w:rsidR="00000000" w:rsidRPr="00000000">
        <w:rPr>
          <w:rtl w:val="0"/>
        </w:rPr>
        <w:t xml:space="preserve">1. Commitment</w:t>
      </w:r>
    </w:p>
    <w:p w:rsidR="00000000" w:rsidDel="00000000" w:rsidP="00000000" w:rsidRDefault="00000000" w:rsidRPr="00000000" w14:paraId="00000012">
      <w:pPr>
        <w:rPr/>
      </w:pPr>
      <w:r w:rsidDel="00000000" w:rsidR="00000000" w:rsidRPr="00000000">
        <w:rPr>
          <w:rtl w:val="0"/>
        </w:rPr>
        <w:t xml:space="preserve">[ORGANISATION NAME] will prepare for disruption in a practical and proportionate way. We will protect people, focus on priority products and services, keep relevant people informed and recover safely and in a controlled way.</w:t>
      </w:r>
    </w:p>
    <w:p w:rsidR="00000000" w:rsidDel="00000000" w:rsidP="00000000" w:rsidRDefault="00000000" w:rsidRPr="00000000" w14:paraId="00000013">
      <w:pPr>
        <w:pStyle w:val="Heading1"/>
        <w:rPr/>
      </w:pPr>
      <w:r w:rsidDel="00000000" w:rsidR="00000000" w:rsidRPr="00000000">
        <w:rPr>
          <w:rtl w:val="0"/>
        </w:rPr>
        <w:t xml:space="preserve">2. Purpose</w:t>
      </w:r>
    </w:p>
    <w:p w:rsidR="00000000" w:rsidDel="00000000" w:rsidP="00000000" w:rsidRDefault="00000000" w:rsidRPr="00000000" w14:paraId="00000014">
      <w:pPr>
        <w:rPr/>
      </w:pPr>
      <w:r w:rsidDel="00000000" w:rsidR="00000000" w:rsidRPr="00000000">
        <w:rPr>
          <w:rtl w:val="0"/>
        </w:rPr>
        <w:t xml:space="preserve">This policy provides a framework for identifying priorities, understanding dependencies, agreeing workarounds, responding to disruption and learning afterwards. It is used with the Business Impact Assessment, Business Continuity Plan and relevant emergency, cyber, safety and sector procedures.</w:t>
      </w:r>
    </w:p>
    <w:p w:rsidR="00000000" w:rsidDel="00000000" w:rsidP="00000000" w:rsidRDefault="00000000" w:rsidRPr="00000000" w14:paraId="00000015">
      <w:pPr>
        <w:pStyle w:val="Heading1"/>
        <w:rPr/>
      </w:pPr>
      <w:r w:rsidDel="00000000" w:rsidR="00000000" w:rsidRPr="00000000">
        <w:rPr>
          <w:rtl w:val="0"/>
        </w:rPr>
        <w:t xml:space="preserve">3. Scope</w:t>
      </w:r>
    </w:p>
    <w:p w:rsidR="00000000" w:rsidDel="00000000" w:rsidP="00000000" w:rsidRDefault="00000000" w:rsidRPr="00000000" w14:paraId="00000016">
      <w:pPr>
        <w:rPr/>
      </w:pPr>
      <w:r w:rsidDel="00000000" w:rsidR="00000000" w:rsidRPr="00000000">
        <w:rPr>
          <w:rtl w:val="0"/>
        </w:rPr>
        <w:t xml:space="preserve">This policy applies to the people, contractors, suppliers, premises, equipment, vehicles, utilities, technology, communications, data and information needed to deliver priority activities. Areas outside scope: [Complete].</w:t>
      </w:r>
    </w:p>
    <w:p w:rsidR="00000000" w:rsidDel="00000000" w:rsidP="00000000" w:rsidRDefault="00000000" w:rsidRPr="00000000" w14:paraId="00000017">
      <w:pPr>
        <w:pStyle w:val="Heading1"/>
        <w:rPr/>
      </w:pPr>
      <w:r w:rsidDel="00000000" w:rsidR="00000000" w:rsidRPr="00000000">
        <w:rPr>
          <w:rtl w:val="0"/>
        </w:rPr>
        <w:t xml:space="preserve">4. Objectives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Protect safety and welfare.</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Identify priority products, services and activities.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Set realistic Maximum T</w:t>
      </w:r>
      <w:r w:rsidDel="00000000" w:rsidR="00000000" w:rsidRPr="00000000">
        <w:rPr>
          <w:rtl w:val="0"/>
        </w:rPr>
        <w:t xml:space="preserve">olerable</w:t>
      </w: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 Period of Disruption</w:t>
      </w:r>
      <w:r w:rsidDel="00000000" w:rsidR="00000000" w:rsidRPr="00000000">
        <w:rPr>
          <w:rtl w:val="0"/>
        </w:rPr>
        <w:t xml:space="preserve"> (MTPD)</w:t>
      </w: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 Recovery Time Objectives (RTO) and minimum service levels.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Reduce single points of failure.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Maintain workable alternatives for loss of people, premises, technology, information, utilities and suppliers.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Communicate accurately and state when the next update will be given.</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Recover in a controlled way and learn from incidents and exercises.</w:t>
      </w:r>
    </w:p>
    <w:p w:rsidR="00000000" w:rsidDel="00000000" w:rsidP="00000000" w:rsidRDefault="00000000" w:rsidRPr="00000000" w14:paraId="0000001F">
      <w:pPr>
        <w:pStyle w:val="Heading1"/>
        <w:rPr/>
      </w:pPr>
      <w:r w:rsidDel="00000000" w:rsidR="00000000" w:rsidRPr="00000000">
        <w:rPr>
          <w:rtl w:val="0"/>
        </w:rPr>
        <w:t xml:space="preserve">5. Principles</w:t>
      </w:r>
    </w:p>
    <w:tbl>
      <w:tblPr>
        <w:tblStyle w:val="Table4"/>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2"/>
        <w:gridCol w:w="5112"/>
        <w:tblGridChange w:id="0">
          <w:tblGrid>
            <w:gridCol w:w="5112"/>
            <w:gridCol w:w="5112"/>
          </w:tblGrid>
        </w:tblGridChange>
      </w:tblGrid>
      <w:tr>
        <w:trPr>
          <w:cantSplit w:val="0"/>
          <w:tblHeader w:val="1"/>
        </w:trPr>
        <w:tc>
          <w:tcPr>
            <w:shd w:fill="156082" w:val="clear"/>
            <w:tcMar>
              <w:top w:w="100.0" w:type="dxa"/>
              <w:bottom w:w="100.0" w:type="dxa"/>
            </w:tcMar>
          </w:tcPr>
          <w:p w:rsidR="00000000" w:rsidDel="00000000" w:rsidP="00000000" w:rsidRDefault="00000000" w:rsidRPr="00000000" w14:paraId="00000020">
            <w:pPr>
              <w:jc w:val="center"/>
              <w:rPr/>
            </w:pPr>
            <w:r w:rsidDel="00000000" w:rsidR="00000000" w:rsidRPr="00000000">
              <w:rPr>
                <w:b w:val="1"/>
                <w:bCs w:val="1"/>
                <w:color w:val="ffffff"/>
                <w:rtl w:val="0"/>
              </w:rPr>
              <w:t xml:space="preserve">Principle</w:t>
            </w:r>
            <w:r w:rsidDel="00000000" w:rsidR="00000000" w:rsidRPr="00000000">
              <w:rPr>
                <w:rtl w:val="0"/>
              </w:rPr>
            </w:r>
          </w:p>
        </w:tc>
        <w:tc>
          <w:tcPr>
            <w:shd w:fill="156082" w:val="clear"/>
            <w:tcMar>
              <w:top w:w="100.0" w:type="dxa"/>
              <w:bottom w:w="100.0" w:type="dxa"/>
            </w:tcMar>
          </w:tcPr>
          <w:p w:rsidR="00000000" w:rsidDel="00000000" w:rsidP="00000000" w:rsidRDefault="00000000" w:rsidRPr="00000000" w14:paraId="00000021">
            <w:pPr>
              <w:jc w:val="center"/>
              <w:rPr/>
            </w:pPr>
            <w:r w:rsidDel="00000000" w:rsidR="00000000" w:rsidRPr="00000000">
              <w:rPr>
                <w:b w:val="1"/>
                <w:bCs w:val="1"/>
                <w:color w:val="ffffff"/>
                <w:rtl w:val="0"/>
              </w:rPr>
              <w:t xml:space="preserve">Expectation</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22">
            <w:pPr>
              <w:rPr/>
            </w:pPr>
            <w:r w:rsidDel="00000000" w:rsidR="00000000" w:rsidRPr="00000000">
              <w:rPr>
                <w:rtl w:val="0"/>
              </w:rPr>
              <w:t xml:space="preserve">People first</w:t>
            </w:r>
          </w:p>
        </w:tc>
        <w:tc>
          <w:tcPr>
            <w:tcMar>
              <w:top w:w="100.0" w:type="dxa"/>
              <w:bottom w:w="100.0" w:type="dxa"/>
            </w:tcMar>
            <w:vAlign w:val="center"/>
          </w:tcPr>
          <w:p w:rsidR="00000000" w:rsidDel="00000000" w:rsidP="00000000" w:rsidRDefault="00000000" w:rsidRPr="00000000" w14:paraId="00000023">
            <w:pPr>
              <w:rPr/>
            </w:pPr>
            <w:r w:rsidDel="00000000" w:rsidR="00000000" w:rsidRPr="00000000">
              <w:rPr>
                <w:rtl w:val="0"/>
              </w:rPr>
              <w:t xml:space="preserve">Life safety and welfare take priority over normal activity.</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24">
            <w:pPr>
              <w:rPr/>
            </w:pPr>
            <w:r w:rsidDel="00000000" w:rsidR="00000000" w:rsidRPr="00000000">
              <w:rPr>
                <w:rtl w:val="0"/>
              </w:rPr>
              <w:t xml:space="preserve">Focus resources</w:t>
            </w:r>
          </w:p>
        </w:tc>
        <w:tc>
          <w:tcPr>
            <w:shd w:fill="f3f7fa" w:val="clear"/>
            <w:tcMar>
              <w:top w:w="100.0" w:type="dxa"/>
              <w:bottom w:w="100.0" w:type="dxa"/>
            </w:tcMar>
            <w:vAlign w:val="center"/>
          </w:tcPr>
          <w:p w:rsidR="00000000" w:rsidDel="00000000" w:rsidP="00000000" w:rsidRDefault="00000000" w:rsidRPr="00000000" w14:paraId="00000025">
            <w:pPr>
              <w:rPr/>
            </w:pPr>
            <w:r w:rsidDel="00000000" w:rsidR="00000000" w:rsidRPr="00000000">
              <w:rPr>
                <w:rtl w:val="0"/>
              </w:rPr>
              <w:t xml:space="preserve">Recover priority activities before lower-priority work.</w:t>
            </w:r>
          </w:p>
        </w:tc>
      </w:tr>
      <w:tr>
        <w:trPr>
          <w:cantSplit w:val="0"/>
          <w:tblHeader w:val="0"/>
        </w:trPr>
        <w:tc>
          <w:tcPr>
            <w:tcMar>
              <w:top w:w="100.0" w:type="dxa"/>
              <w:bottom w:w="100.0" w:type="dxa"/>
            </w:tcMar>
            <w:vAlign w:val="center"/>
          </w:tcPr>
          <w:p w:rsidR="00000000" w:rsidDel="00000000" w:rsidP="00000000" w:rsidRDefault="00000000" w:rsidRPr="00000000" w14:paraId="00000026">
            <w:pPr>
              <w:rPr/>
            </w:pPr>
            <w:r w:rsidDel="00000000" w:rsidR="00000000" w:rsidRPr="00000000">
              <w:rPr>
                <w:rtl w:val="0"/>
              </w:rPr>
              <w:t xml:space="preserve">Practical alternatives</w:t>
            </w:r>
          </w:p>
        </w:tc>
        <w:tc>
          <w:tcPr>
            <w:tcMar>
              <w:top w:w="100.0" w:type="dxa"/>
              <w:bottom w:w="100.0" w:type="dxa"/>
            </w:tcMar>
            <w:vAlign w:val="center"/>
          </w:tcPr>
          <w:p w:rsidR="00000000" w:rsidDel="00000000" w:rsidP="00000000" w:rsidRDefault="00000000" w:rsidRPr="00000000" w14:paraId="00000027">
            <w:pPr>
              <w:rPr/>
            </w:pPr>
            <w:r w:rsidDel="00000000" w:rsidR="00000000" w:rsidRPr="00000000">
              <w:rPr>
                <w:rtl w:val="0"/>
              </w:rPr>
              <w:t xml:space="preserve">Use arrangements that have been checked and are achievable.</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28">
            <w:pPr>
              <w:rPr/>
            </w:pPr>
            <w:r w:rsidDel="00000000" w:rsidR="00000000" w:rsidRPr="00000000">
              <w:rPr>
                <w:rtl w:val="0"/>
              </w:rPr>
              <w:t xml:space="preserve">Secure access</w:t>
            </w:r>
          </w:p>
        </w:tc>
        <w:tc>
          <w:tcPr>
            <w:shd w:fill="f3f7fa" w:val="clear"/>
            <w:tcMar>
              <w:top w:w="100.0" w:type="dxa"/>
              <w:bottom w:w="100.0" w:type="dxa"/>
            </w:tcMar>
            <w:vAlign w:val="center"/>
          </w:tcPr>
          <w:p w:rsidR="00000000" w:rsidDel="00000000" w:rsidP="00000000" w:rsidRDefault="00000000" w:rsidRPr="00000000" w14:paraId="00000029">
            <w:pPr>
              <w:rPr/>
            </w:pPr>
            <w:r w:rsidDel="00000000" w:rsidR="00000000" w:rsidRPr="00000000">
              <w:rPr>
                <w:rtl w:val="0"/>
              </w:rPr>
              <w:t xml:space="preserve">Keep plans and essential information accessible but protected.</w:t>
            </w:r>
          </w:p>
        </w:tc>
      </w:tr>
      <w:tr>
        <w:trPr>
          <w:cantSplit w:val="0"/>
          <w:tblHeader w:val="0"/>
        </w:trPr>
        <w:tc>
          <w:tcPr>
            <w:tcMar>
              <w:top w:w="100.0" w:type="dxa"/>
              <w:bottom w:w="100.0" w:type="dxa"/>
            </w:tcMar>
            <w:vAlign w:val="center"/>
          </w:tcPr>
          <w:p w:rsidR="00000000" w:rsidDel="00000000" w:rsidP="00000000" w:rsidRDefault="00000000" w:rsidRPr="00000000" w14:paraId="0000002A">
            <w:pPr>
              <w:rPr/>
            </w:pPr>
            <w:r w:rsidDel="00000000" w:rsidR="00000000" w:rsidRPr="00000000">
              <w:rPr>
                <w:rtl w:val="0"/>
              </w:rPr>
              <w:t xml:space="preserve">Clear communication</w:t>
            </w:r>
          </w:p>
        </w:tc>
        <w:tc>
          <w:tcPr>
            <w:tcMar>
              <w:top w:w="100.0" w:type="dxa"/>
              <w:bottom w:w="100.0" w:type="dxa"/>
            </w:tcMar>
            <w:vAlign w:val="center"/>
          </w:tcPr>
          <w:p w:rsidR="00000000" w:rsidDel="00000000" w:rsidP="00000000" w:rsidRDefault="00000000" w:rsidRPr="00000000" w14:paraId="0000002B">
            <w:pPr>
              <w:rPr/>
            </w:pPr>
            <w:r w:rsidDel="00000000" w:rsidR="00000000" w:rsidRPr="00000000">
              <w:rPr>
                <w:rtl w:val="0"/>
              </w:rPr>
              <w:t xml:space="preserve">Use approved and trusted channels, including alternatives.</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2C">
            <w:pPr>
              <w:rPr/>
            </w:pPr>
            <w:r w:rsidDel="00000000" w:rsidR="00000000" w:rsidRPr="00000000">
              <w:rPr>
                <w:rtl w:val="0"/>
              </w:rPr>
              <w:t xml:space="preserve">Continual improvement</w:t>
            </w:r>
          </w:p>
        </w:tc>
        <w:tc>
          <w:tcPr>
            <w:shd w:fill="f3f7fa" w:val="clear"/>
            <w:tcMar>
              <w:top w:w="100.0" w:type="dxa"/>
              <w:bottom w:w="100.0" w:type="dxa"/>
            </w:tcMar>
            <w:vAlign w:val="center"/>
          </w:tcPr>
          <w:p w:rsidR="00000000" w:rsidDel="00000000" w:rsidP="00000000" w:rsidRDefault="00000000" w:rsidRPr="00000000" w14:paraId="0000002D">
            <w:pPr>
              <w:rPr/>
            </w:pPr>
            <w:r w:rsidDel="00000000" w:rsidR="00000000" w:rsidRPr="00000000">
              <w:rPr>
                <w:rtl w:val="0"/>
              </w:rPr>
              <w:t xml:space="preserve">Review changes, incidents, near misses, tests and actions.</w:t>
            </w:r>
          </w:p>
        </w:tc>
      </w:tr>
    </w:tbl>
    <w:p w:rsidR="00000000" w:rsidDel="00000000" w:rsidP="00000000" w:rsidRDefault="00000000" w:rsidRPr="00000000" w14:paraId="0000002E">
      <w:pPr>
        <w:spacing w:after="20" w:lineRule="auto"/>
        <w:rPr/>
      </w:pPr>
      <w:r w:rsidDel="00000000" w:rsidR="00000000" w:rsidRPr="00000000">
        <w:rPr>
          <w:rtl w:val="0"/>
        </w:rPr>
      </w:r>
    </w:p>
    <w:p w:rsidR="00000000" w:rsidDel="00000000" w:rsidP="00000000" w:rsidRDefault="00000000" w:rsidRPr="00000000" w14:paraId="0000002F">
      <w:pPr>
        <w:pStyle w:val="Heading1"/>
        <w:rPr/>
      </w:pPr>
      <w:r w:rsidDel="00000000" w:rsidR="00000000" w:rsidRPr="00000000">
        <w:rPr>
          <w:rtl w:val="0"/>
        </w:rPr>
        <w:t xml:space="preserve">6. Responsibilities</w:t>
      </w:r>
    </w:p>
    <w:tbl>
      <w:tblPr>
        <w:tblStyle w:val="Table5"/>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2"/>
        <w:gridCol w:w="5112"/>
        <w:tblGridChange w:id="0">
          <w:tblGrid>
            <w:gridCol w:w="5112"/>
            <w:gridCol w:w="5112"/>
          </w:tblGrid>
        </w:tblGridChange>
      </w:tblGrid>
      <w:tr>
        <w:trPr>
          <w:cantSplit w:val="0"/>
          <w:tblHeader w:val="1"/>
        </w:trPr>
        <w:tc>
          <w:tcPr>
            <w:shd w:fill="156082" w:val="clear"/>
            <w:tcMar>
              <w:top w:w="100.0" w:type="dxa"/>
              <w:bottom w:w="100.0" w:type="dxa"/>
            </w:tcMar>
          </w:tcPr>
          <w:p w:rsidR="00000000" w:rsidDel="00000000" w:rsidP="00000000" w:rsidRDefault="00000000" w:rsidRPr="00000000" w14:paraId="00000030">
            <w:pPr>
              <w:jc w:val="center"/>
              <w:rPr/>
            </w:pPr>
            <w:r w:rsidDel="00000000" w:rsidR="00000000" w:rsidRPr="00000000">
              <w:rPr>
                <w:b w:val="1"/>
                <w:bCs w:val="1"/>
                <w:color w:val="ffffff"/>
                <w:rtl w:val="0"/>
              </w:rPr>
              <w:t xml:space="preserve">Role</w:t>
            </w:r>
            <w:r w:rsidDel="00000000" w:rsidR="00000000" w:rsidRPr="00000000">
              <w:rPr>
                <w:rtl w:val="0"/>
              </w:rPr>
            </w:r>
          </w:p>
        </w:tc>
        <w:tc>
          <w:tcPr>
            <w:shd w:fill="156082" w:val="clear"/>
            <w:tcMar>
              <w:top w:w="100.0" w:type="dxa"/>
              <w:bottom w:w="100.0" w:type="dxa"/>
            </w:tcMar>
          </w:tcPr>
          <w:p w:rsidR="00000000" w:rsidDel="00000000" w:rsidP="00000000" w:rsidRDefault="00000000" w:rsidRPr="00000000" w14:paraId="00000031">
            <w:pPr>
              <w:jc w:val="center"/>
              <w:rPr/>
            </w:pPr>
            <w:r w:rsidDel="00000000" w:rsidR="00000000" w:rsidRPr="00000000">
              <w:rPr>
                <w:b w:val="1"/>
                <w:bCs w:val="1"/>
                <w:color w:val="ffffff"/>
                <w:rtl w:val="0"/>
              </w:rPr>
              <w:t xml:space="preserve">Responsibilities</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32">
            <w:pPr>
              <w:rPr/>
            </w:pPr>
            <w:r w:rsidDel="00000000" w:rsidR="00000000" w:rsidRPr="00000000">
              <w:rPr>
                <w:rtl w:val="0"/>
              </w:rPr>
              <w:t xml:space="preserve">Owner / senior decision-maker</w:t>
            </w:r>
          </w:p>
        </w:tc>
        <w:tc>
          <w:tcPr>
            <w:tcMar>
              <w:top w:w="100.0" w:type="dxa"/>
              <w:bottom w:w="100.0" w:type="dxa"/>
            </w:tcMar>
            <w:vAlign w:val="center"/>
          </w:tcPr>
          <w:p w:rsidR="00000000" w:rsidDel="00000000" w:rsidP="00000000" w:rsidRDefault="00000000" w:rsidRPr="00000000" w14:paraId="00000033">
            <w:pPr>
              <w:rPr/>
            </w:pPr>
            <w:r w:rsidDel="00000000" w:rsidR="00000000" w:rsidRPr="00000000">
              <w:rPr>
                <w:rtl w:val="0"/>
              </w:rPr>
              <w:t xml:space="preserve">Approve policy, resource priority improvements, support major decisions and accept material residual risks.</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34">
            <w:pPr>
              <w:rPr/>
            </w:pPr>
            <w:r w:rsidDel="00000000" w:rsidR="00000000" w:rsidRPr="00000000">
              <w:rPr>
                <w:rtl w:val="0"/>
              </w:rPr>
              <w:t xml:space="preserve">BC lead and deputy</w:t>
            </w:r>
          </w:p>
        </w:tc>
        <w:tc>
          <w:tcPr>
            <w:shd w:fill="f3f7fa" w:val="clear"/>
            <w:tcMar>
              <w:top w:w="100.0" w:type="dxa"/>
              <w:bottom w:w="100.0" w:type="dxa"/>
            </w:tcMar>
            <w:vAlign w:val="center"/>
          </w:tcPr>
          <w:p w:rsidR="00000000" w:rsidDel="00000000" w:rsidP="00000000" w:rsidRDefault="00000000" w:rsidRPr="00000000" w14:paraId="00000035">
            <w:pPr>
              <w:rPr/>
            </w:pPr>
            <w:r w:rsidDel="00000000" w:rsidR="00000000" w:rsidRPr="00000000">
              <w:rPr>
                <w:rtl w:val="0"/>
              </w:rPr>
              <w:t xml:space="preserve">Coordinate the BIA and plan, maintain information, arrange awareness and exercises, and report gaps.</w:t>
            </w:r>
          </w:p>
        </w:tc>
      </w:tr>
      <w:tr>
        <w:trPr>
          <w:cantSplit w:val="0"/>
          <w:tblHeader w:val="0"/>
        </w:trPr>
        <w:tc>
          <w:tcPr>
            <w:tcMar>
              <w:top w:w="100.0" w:type="dxa"/>
              <w:bottom w:w="100.0" w:type="dxa"/>
            </w:tcMar>
            <w:vAlign w:val="center"/>
          </w:tcPr>
          <w:p w:rsidR="00000000" w:rsidDel="00000000" w:rsidP="00000000" w:rsidRDefault="00000000" w:rsidRPr="00000000" w14:paraId="00000036">
            <w:pPr>
              <w:rPr/>
            </w:pPr>
            <w:r w:rsidDel="00000000" w:rsidR="00000000" w:rsidRPr="00000000">
              <w:rPr>
                <w:rtl w:val="0"/>
              </w:rPr>
              <w:t xml:space="preserve">Managers / activity owners</w:t>
            </w:r>
          </w:p>
        </w:tc>
        <w:tc>
          <w:tcPr>
            <w:tcMar>
              <w:top w:w="100.0" w:type="dxa"/>
              <w:bottom w:w="100.0" w:type="dxa"/>
            </w:tcMar>
            <w:vAlign w:val="center"/>
          </w:tcPr>
          <w:p w:rsidR="00000000" w:rsidDel="00000000" w:rsidP="00000000" w:rsidRDefault="00000000" w:rsidRPr="00000000" w14:paraId="00000037">
            <w:pPr>
              <w:rPr/>
            </w:pPr>
            <w:r w:rsidDel="00000000" w:rsidR="00000000" w:rsidRPr="00000000">
              <w:rPr>
                <w:rtl w:val="0"/>
              </w:rPr>
              <w:t xml:space="preserve">Identify priorities and dependencies, maintain workarounds, brief staff and support response and recovery.</w:t>
            </w:r>
          </w:p>
        </w:tc>
      </w:tr>
      <w:tr>
        <w:trPr>
          <w:cantSplit w:val="0"/>
          <w:tblHeader w:val="0"/>
        </w:trPr>
        <w:tc>
          <w:tcPr>
            <w:shd w:fill="f3f7fa" w:val="clear"/>
            <w:tcMar>
              <w:top w:w="100.0" w:type="dxa"/>
              <w:bottom w:w="100.0" w:type="dxa"/>
            </w:tcMar>
            <w:vAlign w:val="center"/>
          </w:tcPr>
          <w:p w:rsidR="00000000" w:rsidDel="00000000" w:rsidP="00000000" w:rsidRDefault="00000000" w:rsidRPr="00000000" w14:paraId="00000038">
            <w:pPr>
              <w:rPr/>
            </w:pPr>
            <w:r w:rsidDel="00000000" w:rsidR="00000000" w:rsidRPr="00000000">
              <w:rPr>
                <w:rtl w:val="0"/>
              </w:rPr>
              <w:t xml:space="preserve">Everyone</w:t>
            </w:r>
          </w:p>
        </w:tc>
        <w:tc>
          <w:tcPr>
            <w:shd w:fill="f3f7fa" w:val="clear"/>
            <w:tcMar>
              <w:top w:w="100.0" w:type="dxa"/>
              <w:bottom w:w="100.0" w:type="dxa"/>
            </w:tcMar>
            <w:vAlign w:val="center"/>
          </w:tcPr>
          <w:p w:rsidR="00000000" w:rsidDel="00000000" w:rsidP="00000000" w:rsidRDefault="00000000" w:rsidRPr="00000000" w14:paraId="00000039">
            <w:pPr>
              <w:rPr/>
            </w:pPr>
            <w:r w:rsidDel="00000000" w:rsidR="00000000" w:rsidRPr="00000000">
              <w:rPr>
                <w:rtl w:val="0"/>
              </w:rPr>
              <w:t xml:space="preserve">Follow instructions, know how to report disruption, report vulnerabilities and support reasonable recovery actions.</w:t>
            </w:r>
          </w:p>
        </w:tc>
      </w:tr>
      <w:tr>
        <w:trPr>
          <w:cantSplit w:val="0"/>
          <w:tblHeader w:val="0"/>
        </w:trPr>
        <w:tc>
          <w:tcPr>
            <w:tcMar>
              <w:top w:w="100.0" w:type="dxa"/>
              <w:bottom w:w="100.0" w:type="dxa"/>
            </w:tcMar>
            <w:vAlign w:val="center"/>
          </w:tcPr>
          <w:p w:rsidR="00000000" w:rsidDel="00000000" w:rsidP="00000000" w:rsidRDefault="00000000" w:rsidRPr="00000000" w14:paraId="0000003A">
            <w:pPr>
              <w:rPr/>
            </w:pPr>
            <w:r w:rsidDel="00000000" w:rsidR="00000000" w:rsidRPr="00000000">
              <w:rPr>
                <w:rtl w:val="0"/>
              </w:rPr>
              <w:t xml:space="preserve">Suppliers / outsourced providers</w:t>
            </w:r>
          </w:p>
        </w:tc>
        <w:tc>
          <w:tcPr>
            <w:tcMar>
              <w:top w:w="100.0" w:type="dxa"/>
              <w:bottom w:w="100.0" w:type="dxa"/>
            </w:tcMar>
            <w:vAlign w:val="center"/>
          </w:tcPr>
          <w:p w:rsidR="00000000" w:rsidDel="00000000" w:rsidP="00000000" w:rsidRDefault="00000000" w:rsidRPr="00000000" w14:paraId="0000003B">
            <w:pPr>
              <w:rPr/>
            </w:pPr>
            <w:r w:rsidDel="00000000" w:rsidR="00000000" w:rsidRPr="00000000">
              <w:rPr>
                <w:rtl w:val="0"/>
              </w:rPr>
              <w:t xml:space="preserve">Meet agreed continuity obligations and notify relevant disruption in line with contractual arrangements.</w:t>
            </w:r>
          </w:p>
        </w:tc>
      </w:tr>
    </w:tbl>
    <w:p w:rsidR="00000000" w:rsidDel="00000000" w:rsidP="00000000" w:rsidRDefault="00000000" w:rsidRPr="00000000" w14:paraId="0000003C">
      <w:pPr>
        <w:spacing w:after="20" w:lineRule="auto"/>
        <w:rPr/>
      </w:pPr>
      <w:r w:rsidDel="00000000" w:rsidR="00000000" w:rsidRPr="00000000">
        <w:rPr>
          <w:rtl w:val="0"/>
        </w:rPr>
      </w:r>
    </w:p>
    <w:p w:rsidR="00000000" w:rsidDel="00000000" w:rsidP="00000000" w:rsidRDefault="00000000" w:rsidRPr="00000000" w14:paraId="0000003D">
      <w:pPr>
        <w:pStyle w:val="Heading1"/>
        <w:rPr/>
      </w:pPr>
      <w:r w:rsidDel="00000000" w:rsidR="00000000" w:rsidRPr="00000000">
        <w:rPr>
          <w:rtl w:val="0"/>
        </w:rPr>
        <w:t xml:space="preserve">7. Implementation and assurance</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Complete and approve the BIA and BC plan.</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Record improvement actions, owners, priorities and target dates.</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Provide assurance to [senior decision-maker / board] at [frequency].</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Record accepted gaps and policy exceptions, including owner, rationale, controls and review date.</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36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Confirm third-party continuity expectations through proportionate contracts and supplier checks.</w:t>
      </w:r>
    </w:p>
    <w:p w:rsidR="00000000" w:rsidDel="00000000" w:rsidP="00000000" w:rsidRDefault="00000000" w:rsidRPr="00000000" w14:paraId="00000043">
      <w:pPr>
        <w:pStyle w:val="Heading1"/>
        <w:rPr/>
      </w:pPr>
      <w:r w:rsidDel="00000000" w:rsidR="00000000" w:rsidRPr="00000000">
        <w:rPr>
          <w:rtl w:val="0"/>
        </w:rPr>
        <w:t xml:space="preserve">8. Training, exercising and maintenance</w:t>
      </w:r>
    </w:p>
    <w:p w:rsidR="00000000" w:rsidDel="00000000" w:rsidP="00000000" w:rsidRDefault="00000000" w:rsidRPr="00000000" w14:paraId="00000044">
      <w:pPr>
        <w:rPr/>
      </w:pPr>
      <w:r w:rsidDel="00000000" w:rsidR="00000000" w:rsidRPr="00000000">
        <w:rPr>
          <w:rtl w:val="0"/>
        </w:rPr>
        <w:t xml:space="preserve">People with continuity roles will understand what is expected. A proportionate exercise or walkthrough will be carried out at least annually. Contacts, priorities, recovery objectives, workarounds, suppliers, plan access and actions will be reviewed at least annually and after significant change, disruption, a near miss or an exercise.</w:t>
      </w:r>
    </w:p>
    <w:p w:rsidR="00000000" w:rsidDel="00000000" w:rsidP="00000000" w:rsidRDefault="00000000" w:rsidRPr="00000000" w14:paraId="00000045">
      <w:pPr>
        <w:pStyle w:val="Heading1"/>
        <w:rPr/>
      </w:pPr>
      <w:r w:rsidDel="00000000" w:rsidR="00000000" w:rsidRPr="00000000">
        <w:rPr>
          <w:rtl w:val="0"/>
        </w:rPr>
        <w:t xml:space="preserve">9. Approval</w:t>
      </w:r>
    </w:p>
    <w:tbl>
      <w:tblPr>
        <w:tblStyle w:val="Table6"/>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6"/>
        <w:gridCol w:w="2556"/>
        <w:gridCol w:w="2556"/>
        <w:gridCol w:w="2556"/>
        <w:tblGridChange w:id="0">
          <w:tblGrid>
            <w:gridCol w:w="2556"/>
            <w:gridCol w:w="2556"/>
            <w:gridCol w:w="2556"/>
            <w:gridCol w:w="2556"/>
          </w:tblGrid>
        </w:tblGridChange>
      </w:tblGrid>
      <w:tr>
        <w:trPr>
          <w:cantSplit w:val="0"/>
          <w:tblHeader w:val="1"/>
        </w:trPr>
        <w:tc>
          <w:tcPr>
            <w:shd w:fill="156082" w:val="clear"/>
            <w:tcMar>
              <w:top w:w="100.0" w:type="dxa"/>
              <w:bottom w:w="100.0" w:type="dxa"/>
            </w:tcMar>
          </w:tcPr>
          <w:p w:rsidR="00000000" w:rsidDel="00000000" w:rsidP="00000000" w:rsidRDefault="00000000" w:rsidRPr="00000000" w14:paraId="00000046">
            <w:pPr>
              <w:jc w:val="center"/>
              <w:rPr/>
            </w:pPr>
            <w:r w:rsidDel="00000000" w:rsidR="00000000" w:rsidRPr="00000000">
              <w:rPr>
                <w:b w:val="1"/>
                <w:bCs w:val="1"/>
                <w:color w:val="ffffff"/>
                <w:rtl w:val="0"/>
              </w:rPr>
              <w:t xml:space="preserve">Name / role</w:t>
            </w:r>
            <w:r w:rsidDel="00000000" w:rsidR="00000000" w:rsidRPr="00000000">
              <w:rPr>
                <w:rtl w:val="0"/>
              </w:rPr>
            </w:r>
          </w:p>
        </w:tc>
        <w:tc>
          <w:tcPr>
            <w:shd w:fill="156082" w:val="clear"/>
            <w:tcMar>
              <w:top w:w="100.0" w:type="dxa"/>
              <w:bottom w:w="100.0" w:type="dxa"/>
            </w:tcMar>
          </w:tcPr>
          <w:p w:rsidR="00000000" w:rsidDel="00000000" w:rsidP="00000000" w:rsidRDefault="00000000" w:rsidRPr="00000000" w14:paraId="00000047">
            <w:pPr>
              <w:jc w:val="center"/>
              <w:rPr/>
            </w:pPr>
            <w:r w:rsidDel="00000000" w:rsidR="00000000" w:rsidRPr="00000000">
              <w:rPr>
                <w:b w:val="1"/>
                <w:bCs w:val="1"/>
                <w:color w:val="ffffff"/>
                <w:rtl w:val="0"/>
              </w:rPr>
              <w:t xml:space="preserve">Signature</w:t>
            </w:r>
            <w:r w:rsidDel="00000000" w:rsidR="00000000" w:rsidRPr="00000000">
              <w:rPr>
                <w:rtl w:val="0"/>
              </w:rPr>
            </w:r>
          </w:p>
        </w:tc>
        <w:tc>
          <w:tcPr>
            <w:shd w:fill="156082" w:val="clear"/>
            <w:tcMar>
              <w:top w:w="100.0" w:type="dxa"/>
              <w:bottom w:w="100.0" w:type="dxa"/>
            </w:tcMar>
          </w:tcPr>
          <w:p w:rsidR="00000000" w:rsidDel="00000000" w:rsidP="00000000" w:rsidRDefault="00000000" w:rsidRPr="00000000" w14:paraId="00000048">
            <w:pPr>
              <w:jc w:val="center"/>
              <w:rPr/>
            </w:pPr>
            <w:r w:rsidDel="00000000" w:rsidR="00000000" w:rsidRPr="00000000">
              <w:rPr>
                <w:b w:val="1"/>
                <w:bCs w:val="1"/>
                <w:color w:val="ffffff"/>
                <w:rtl w:val="0"/>
              </w:rPr>
              <w:t xml:space="preserve">Date</w:t>
            </w:r>
            <w:r w:rsidDel="00000000" w:rsidR="00000000" w:rsidRPr="00000000">
              <w:rPr>
                <w:rtl w:val="0"/>
              </w:rPr>
            </w:r>
          </w:p>
        </w:tc>
        <w:tc>
          <w:tcPr>
            <w:shd w:fill="156082" w:val="clear"/>
            <w:tcMar>
              <w:top w:w="100.0" w:type="dxa"/>
              <w:bottom w:w="100.0" w:type="dxa"/>
            </w:tcMar>
          </w:tcPr>
          <w:p w:rsidR="00000000" w:rsidDel="00000000" w:rsidP="00000000" w:rsidRDefault="00000000" w:rsidRPr="00000000" w14:paraId="00000049">
            <w:pPr>
              <w:jc w:val="center"/>
              <w:rPr/>
            </w:pPr>
            <w:r w:rsidDel="00000000" w:rsidR="00000000" w:rsidRPr="00000000">
              <w:rPr>
                <w:b w:val="1"/>
                <w:bCs w:val="1"/>
                <w:color w:val="ffffff"/>
                <w:rtl w:val="0"/>
              </w:rPr>
              <w:t xml:space="preserve">Next review</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4A">
            <w:pPr>
              <w:rPr/>
            </w:pPr>
            <w:r w:rsidDel="00000000" w:rsidR="00000000" w:rsidRPr="00000000">
              <w:rPr>
                <w:rtl w:val="0"/>
              </w:rPr>
              <w:t xml:space="preserve">[Complete]</w:t>
            </w:r>
          </w:p>
        </w:tc>
        <w:tc>
          <w:tcPr>
            <w:tcMar>
              <w:top w:w="100.0" w:type="dxa"/>
              <w:bottom w:w="100.0" w:type="dxa"/>
            </w:tcMar>
            <w:vAlign w:val="center"/>
          </w:tcPr>
          <w:p w:rsidR="00000000" w:rsidDel="00000000" w:rsidP="00000000" w:rsidRDefault="00000000" w:rsidRPr="00000000" w14:paraId="0000004B">
            <w:pPr>
              <w:rPr/>
            </w:pPr>
            <w:r w:rsidDel="00000000" w:rsidR="00000000" w:rsidRPr="00000000">
              <w:rPr>
                <w:rtl w:val="0"/>
              </w:rPr>
              <w:t xml:space="preserve">[Complete]</w:t>
            </w:r>
          </w:p>
        </w:tc>
        <w:tc>
          <w:tcPr>
            <w:tcMar>
              <w:top w:w="100.0" w:type="dxa"/>
              <w:bottom w:w="100.0" w:type="dxa"/>
            </w:tcMar>
            <w:vAlign w:val="center"/>
          </w:tcPr>
          <w:p w:rsidR="00000000" w:rsidDel="00000000" w:rsidP="00000000" w:rsidRDefault="00000000" w:rsidRPr="00000000" w14:paraId="0000004C">
            <w:pPr>
              <w:rPr/>
            </w:pPr>
            <w:r w:rsidDel="00000000" w:rsidR="00000000" w:rsidRPr="00000000">
              <w:rPr>
                <w:rtl w:val="0"/>
              </w:rPr>
              <w:t xml:space="preserve">[Complete]</w:t>
            </w:r>
          </w:p>
        </w:tc>
        <w:tc>
          <w:tcPr>
            <w:tcMar>
              <w:top w:w="100.0" w:type="dxa"/>
              <w:bottom w:w="100.0" w:type="dxa"/>
            </w:tcMar>
            <w:vAlign w:val="center"/>
          </w:tcPr>
          <w:p w:rsidR="00000000" w:rsidDel="00000000" w:rsidP="00000000" w:rsidRDefault="00000000" w:rsidRPr="00000000" w14:paraId="0000004D">
            <w:pPr>
              <w:rPr/>
            </w:pPr>
            <w:r w:rsidDel="00000000" w:rsidR="00000000" w:rsidRPr="00000000">
              <w:rPr>
                <w:rtl w:val="0"/>
              </w:rPr>
              <w:t xml:space="preserve">[Complete]</w:t>
            </w:r>
          </w:p>
        </w:tc>
      </w:tr>
    </w:tbl>
    <w:p w:rsidR="00000000" w:rsidDel="00000000" w:rsidP="00000000" w:rsidRDefault="00000000" w:rsidRPr="00000000" w14:paraId="0000004E">
      <w:pPr>
        <w:spacing w:after="20" w:lineRule="auto"/>
        <w:rPr/>
      </w:pPr>
      <w:r w:rsidDel="00000000" w:rsidR="00000000" w:rsidRPr="00000000">
        <w:rPr>
          <w:rtl w:val="0"/>
        </w:rPr>
      </w:r>
    </w:p>
    <w:sectPr>
      <w:headerReference r:id="rId7" w:type="default"/>
      <w:footerReference r:id="rId8" w:type="default"/>
      <w:pgSz w:h="15840" w:w="12240" w:orient="portrait"/>
      <w:pgMar w:bottom="936" w:top="936"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1f1f1f"/>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666666"/>
        <w:sz w:val="16"/>
        <w:szCs w:val="16"/>
        <w:u w:val="none"/>
        <w:shd w:fill="auto" w:val="clear"/>
        <w:vertAlign w:val="baseline"/>
        <w:rtl w:val="0"/>
      </w:rPr>
      <w:t xml:space="preserve">Practical resilience template | Review and adapt locally | </w:t>
    </w: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1f1f1f"/>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156082"/>
        <w:sz w:val="16"/>
        <w:szCs w:val="16"/>
        <w:u w:val="none"/>
        <w:shd w:fill="auto" w:val="clear"/>
        <w:vertAlign w:val="baseline"/>
        <w:rtl w:val="0"/>
      </w:rPr>
      <w:t xml:space="preserve">Suffolk SME Business Continuity Toolkit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1f1f1f"/>
        <w:lang w:val="en"/>
      </w:rPr>
    </w:rPrDefault>
    <w:pPrDefault>
      <w:pPr>
        <w:spacing w:after="10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Rule="auto"/>
    </w:pPr>
    <w:rPr>
      <w:rFonts w:ascii="Play" w:cs="Play" w:eastAsia="Play" w:hAnsi="Play"/>
      <w:b w:val="1"/>
      <w:bCs w:val="1"/>
      <w:color w:val="156082"/>
      <w:sz w:val="32"/>
      <w:szCs w:val="32"/>
    </w:rPr>
  </w:style>
  <w:style w:type="paragraph" w:styleId="Heading2">
    <w:name w:val="heading 2"/>
    <w:basedOn w:val="Normal"/>
    <w:next w:val="Normal"/>
    <w:pPr>
      <w:keepNext w:val="1"/>
      <w:keepLines w:val="1"/>
      <w:spacing w:after="100" w:before="200" w:lineRule="auto"/>
    </w:pPr>
    <w:rPr>
      <w:rFonts w:ascii="Play" w:cs="Play" w:eastAsia="Play" w:hAnsi="Play"/>
      <w:b w:val="1"/>
      <w:bCs w:val="1"/>
      <w:color w:val="156082"/>
      <w:sz w:val="24"/>
      <w:szCs w:val="24"/>
    </w:rPr>
  </w:style>
  <w:style w:type="paragraph" w:styleId="Heading3">
    <w:name w:val="heading 3"/>
    <w:basedOn w:val="Normal"/>
    <w:next w:val="Normal"/>
    <w:pPr>
      <w:keepNext w:val="1"/>
      <w:keepLines w:val="1"/>
      <w:spacing w:after="100" w:before="200" w:lineRule="auto"/>
    </w:pPr>
    <w:rPr>
      <w:rFonts w:ascii="Play" w:cs="Play" w:eastAsia="Play" w:hAnsi="Play"/>
      <w:b w:val="1"/>
      <w:bCs w:val="1"/>
      <w:color w:val="1f1f1f"/>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100" w:before="200" w:line="240" w:lineRule="auto"/>
    </w:pPr>
    <w:rPr>
      <w:rFonts w:ascii="Play" w:cs="Play" w:eastAsia="Play" w:hAnsi="Play"/>
      <w:b w:val="1"/>
      <w:bCs w:val="1"/>
      <w:color w:val="156082"/>
      <w:sz w:val="48"/>
      <w:szCs w:val="48"/>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mallNote" w:customStyle="1">
    <w:name w:val="Small Note"/>
    <w:rPr>
      <w:rFonts w:ascii="Aptos" w:hAnsi="Aptos"/>
      <w:color w:val="666666"/>
      <w:sz w:val="1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WD5SefdIfd0jZka9s3U40/p6yw==">CgMxLjA4AHIhMXBsTFdLSk5hcEY2YzdEWGM2bHluNVhUMjdiWGkzVDBO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2026-09-02T10:33:30.3608757Z</dcterms:created>
  <dc:creator>Gill Muncaster (JEPU)</dc:creator>
</cp:coreProperties>
</file>