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pPr>
      <w:r w:rsidDel="00000000" w:rsidR="00000000" w:rsidRPr="00000000">
        <w:rPr>
          <w:rtl w:val="0"/>
        </w:rPr>
        <w:t xml:space="preserve">Example Completed Business Impact Assessment</w:t>
      </w:r>
    </w:p>
    <w:p w:rsidR="00000000" w:rsidDel="00000000" w:rsidP="00000000" w:rsidRDefault="00000000" w:rsidRPr="00000000" w14:paraId="00000002">
      <w:pPr>
        <w:pStyle w:val="Subtitle"/>
        <w:jc w:val="center"/>
        <w:rPr/>
      </w:pPr>
      <w:r w:rsidDel="00000000" w:rsidR="00000000" w:rsidRPr="00000000">
        <w:rPr>
          <w:rtl w:val="0"/>
        </w:rPr>
        <w:t xml:space="preserve">A worked example for a fictional small business</w:t>
      </w:r>
    </w:p>
    <w:p w:rsidR="00000000" w:rsidDel="00000000" w:rsidP="00000000" w:rsidRDefault="00000000" w:rsidRPr="00000000" w14:paraId="00000003">
      <w:pPr>
        <w:rPr/>
      </w:pPr>
      <w:r w:rsidDel="00000000" w:rsidR="00000000" w:rsidRPr="00000000">
        <w:rPr>
          <w:b w:val="1"/>
          <w:bCs w:val="1"/>
          <w:rtl w:val="0"/>
        </w:rPr>
        <w:t xml:space="preserve">How to use this example:</w:t>
      </w:r>
      <w:r w:rsidDel="00000000" w:rsidR="00000000" w:rsidRPr="00000000">
        <w:rPr>
          <w:rtl w:val="0"/>
        </w:rPr>
        <w:t xml:space="preserve"> Read it alongside the blank template to see the level of detail expected. The information is illustrative and should not be copied without adapting it to your own organisation, risks, contracts and legal duties.</w:t>
      </w:r>
    </w:p>
    <w:p w:rsidR="00000000" w:rsidDel="00000000" w:rsidP="00000000" w:rsidRDefault="00000000" w:rsidRPr="00000000" w14:paraId="00000004">
      <w:pPr>
        <w:rPr/>
      </w:pPr>
      <w:r w:rsidDel="00000000" w:rsidR="00000000" w:rsidRPr="00000000">
        <w:rPr>
          <w:b w:val="1"/>
          <w:bCs w:val="1"/>
          <w:rtl w:val="0"/>
        </w:rPr>
        <w:t xml:space="preserve">Example organisation:</w:t>
      </w:r>
      <w:r w:rsidDel="00000000" w:rsidR="00000000" w:rsidRPr="00000000">
        <w:rPr>
          <w:rtl w:val="0"/>
        </w:rPr>
        <w:t xml:space="preserve"> Riverside Community Café Ltd, a fictional café providing meals, takeaway orders and a community lunch service in Suffolk.</w:t>
      </w:r>
    </w:p>
    <w:p w:rsidR="00000000" w:rsidDel="00000000" w:rsidP="00000000" w:rsidRDefault="00000000" w:rsidRPr="00000000" w14:paraId="00000005">
      <w:pPr>
        <w:pStyle w:val="Heading1"/>
        <w:rPr/>
      </w:pPr>
      <w:r w:rsidDel="00000000" w:rsidR="00000000" w:rsidRPr="00000000">
        <w:rPr>
          <w:rtl w:val="0"/>
        </w:rPr>
        <w:t xml:space="preserve">Completed organisation profile</w:t>
      </w:r>
    </w:p>
    <w:tbl>
      <w:tblPr>
        <w:tblStyle w:val="Table1"/>
        <w:tblW w:w="10440.0" w:type="dxa"/>
        <w:jc w:val="left"/>
        <w:tblInd w:w="-108.0" w:type="dxa"/>
        <w:tblBorders>
          <w:top w:color="95b3d7" w:space="0" w:sz="4" w:val="single"/>
          <w:left w:color="95b3d7" w:space="0" w:sz="4" w:val="single"/>
          <w:bottom w:color="95b3d7" w:space="0" w:sz="4" w:val="single"/>
          <w:right w:color="95b3d7" w:space="0" w:sz="4" w:val="single"/>
          <w:insideH w:color="95b3d7" w:space="0" w:sz="4" w:val="single"/>
          <w:insideV w:color="95b3d7" w:space="0" w:sz="4" w:val="single"/>
        </w:tblBorders>
        <w:tblLayout w:type="fixed"/>
        <w:tblLook w:val="04A0"/>
      </w:tblPr>
      <w:tblGrid>
        <w:gridCol w:w="2147"/>
        <w:gridCol w:w="3332"/>
        <w:gridCol w:w="1537"/>
        <w:gridCol w:w="3424"/>
        <w:tblGridChange w:id="0">
          <w:tblGrid>
            <w:gridCol w:w="2147"/>
            <w:gridCol w:w="3332"/>
            <w:gridCol w:w="1537"/>
            <w:gridCol w:w="3424"/>
          </w:tblGrid>
        </w:tblGridChange>
      </w:tblGrid>
      <w:tr>
        <w:trPr>
          <w:cantSplit w:val="0"/>
          <w:tblHeader w:val="0"/>
        </w:trPr>
        <w:tc>
          <w:tcPr/>
          <w:p w:rsidR="00000000" w:rsidDel="00000000" w:rsidP="00000000" w:rsidRDefault="00000000" w:rsidRPr="00000000" w14:paraId="00000006">
            <w:pPr>
              <w:rPr/>
            </w:pPr>
            <w:r w:rsidDel="00000000" w:rsidR="00000000" w:rsidRPr="00000000">
              <w:rPr>
                <w:rtl w:val="0"/>
              </w:rPr>
              <w:t xml:space="preserve">Business / organisation</w:t>
            </w:r>
          </w:p>
        </w:tc>
        <w:tc>
          <w:tcPr/>
          <w:p w:rsidR="00000000" w:rsidDel="00000000" w:rsidP="00000000" w:rsidRDefault="00000000" w:rsidRPr="00000000" w14:paraId="00000007">
            <w:pPr>
              <w:rPr/>
            </w:pPr>
            <w:r w:rsidDel="00000000" w:rsidR="00000000" w:rsidRPr="00000000">
              <w:rPr>
                <w:rtl w:val="0"/>
              </w:rPr>
              <w:t xml:space="preserve">Riverside Community Café Ltd</w:t>
            </w:r>
          </w:p>
        </w:tc>
        <w:tc>
          <w:tcPr/>
          <w:p w:rsidR="00000000" w:rsidDel="00000000" w:rsidP="00000000" w:rsidRDefault="00000000" w:rsidRPr="00000000" w14:paraId="00000008">
            <w:pPr>
              <w:rPr/>
            </w:pPr>
            <w:r w:rsidDel="00000000" w:rsidR="00000000" w:rsidRPr="00000000">
              <w:rPr>
                <w:rtl w:val="0"/>
              </w:rPr>
              <w:t xml:space="preserve">Document owner</w:t>
            </w:r>
          </w:p>
        </w:tc>
        <w:tc>
          <w:tcPr/>
          <w:p w:rsidR="00000000" w:rsidDel="00000000" w:rsidP="00000000" w:rsidRDefault="00000000" w:rsidRPr="00000000" w14:paraId="00000009">
            <w:pPr>
              <w:rPr/>
            </w:pPr>
            <w:r w:rsidDel="00000000" w:rsidR="00000000" w:rsidRPr="00000000">
              <w:rPr>
                <w:rtl w:val="0"/>
              </w:rPr>
              <w:t xml:space="preserve">Alex Morgan, Business Manager</w:t>
            </w:r>
          </w:p>
        </w:tc>
      </w:tr>
      <w:tr>
        <w:trPr>
          <w:cantSplit w:val="0"/>
          <w:tblHeader w:val="0"/>
        </w:trPr>
        <w:tc>
          <w:tcPr/>
          <w:p w:rsidR="00000000" w:rsidDel="00000000" w:rsidP="00000000" w:rsidRDefault="00000000" w:rsidRPr="00000000" w14:paraId="0000000A">
            <w:pPr>
              <w:rPr/>
            </w:pPr>
            <w:r w:rsidDel="00000000" w:rsidR="00000000" w:rsidRPr="00000000">
              <w:rPr>
                <w:rtl w:val="0"/>
              </w:rPr>
              <w:t xml:space="preserve">Approved by</w:t>
            </w:r>
          </w:p>
        </w:tc>
        <w:tc>
          <w:tcPr/>
          <w:p w:rsidR="00000000" w:rsidDel="00000000" w:rsidP="00000000" w:rsidRDefault="00000000" w:rsidRPr="00000000" w14:paraId="0000000B">
            <w:pPr>
              <w:rPr/>
            </w:pPr>
            <w:r w:rsidDel="00000000" w:rsidR="00000000" w:rsidRPr="00000000">
              <w:rPr>
                <w:rtl w:val="0"/>
              </w:rPr>
              <w:t xml:space="preserve">Sam Taylor, Managing Director</w:t>
            </w:r>
          </w:p>
        </w:tc>
        <w:tc>
          <w:tcPr/>
          <w:p w:rsidR="00000000" w:rsidDel="00000000" w:rsidP="00000000" w:rsidRDefault="00000000" w:rsidRPr="00000000" w14:paraId="0000000C">
            <w:pPr>
              <w:rPr/>
            </w:pPr>
            <w:r w:rsidDel="00000000" w:rsidR="00000000" w:rsidRPr="00000000">
              <w:rPr>
                <w:b w:val="1"/>
                <w:bCs w:val="1"/>
                <w:rtl w:val="0"/>
              </w:rPr>
              <w:t xml:space="preserve">Version</w:t>
            </w:r>
            <w:r w:rsidDel="00000000" w:rsidR="00000000" w:rsidRPr="00000000">
              <w:rPr>
                <w:rtl w:val="0"/>
              </w:rPr>
            </w:r>
          </w:p>
        </w:tc>
        <w:tc>
          <w:tcPr/>
          <w:p w:rsidR="00000000" w:rsidDel="00000000" w:rsidP="00000000" w:rsidRDefault="00000000" w:rsidRPr="00000000" w14:paraId="0000000D">
            <w:pPr>
              <w:rPr/>
            </w:pPr>
            <w:r w:rsidDel="00000000" w:rsidR="00000000" w:rsidRPr="00000000">
              <w:rPr>
                <w:rtl w:val="0"/>
              </w:rPr>
              <w:t xml:space="preserve">1.0</w:t>
            </w:r>
          </w:p>
        </w:tc>
      </w:tr>
      <w:tr>
        <w:trPr>
          <w:cantSplit w:val="0"/>
          <w:tblHeader w:val="0"/>
        </w:trPr>
        <w:tc>
          <w:tcPr/>
          <w:p w:rsidR="00000000" w:rsidDel="00000000" w:rsidP="00000000" w:rsidRDefault="00000000" w:rsidRPr="00000000" w14:paraId="0000000E">
            <w:pPr>
              <w:rPr/>
            </w:pPr>
            <w:r w:rsidDel="00000000" w:rsidR="00000000" w:rsidRPr="00000000">
              <w:rPr>
                <w:rtl w:val="0"/>
              </w:rPr>
              <w:t xml:space="preserve">Approval date</w:t>
            </w:r>
          </w:p>
        </w:tc>
        <w:tc>
          <w:tcPr/>
          <w:p w:rsidR="00000000" w:rsidDel="00000000" w:rsidP="00000000" w:rsidRDefault="00000000" w:rsidRPr="00000000" w14:paraId="0000000F">
            <w:pPr>
              <w:rPr/>
            </w:pPr>
            <w:r w:rsidDel="00000000" w:rsidR="00000000" w:rsidRPr="00000000">
              <w:rPr>
                <w:rtl w:val="0"/>
              </w:rPr>
              <w:t xml:space="preserve">14 September 2026</w:t>
            </w:r>
          </w:p>
        </w:tc>
        <w:tc>
          <w:tcPr/>
          <w:p w:rsidR="00000000" w:rsidDel="00000000" w:rsidP="00000000" w:rsidRDefault="00000000" w:rsidRPr="00000000" w14:paraId="00000010">
            <w:pPr>
              <w:rPr/>
            </w:pPr>
            <w:r w:rsidDel="00000000" w:rsidR="00000000" w:rsidRPr="00000000">
              <w:rPr>
                <w:b w:val="1"/>
                <w:bCs w:val="1"/>
                <w:rtl w:val="0"/>
              </w:rPr>
              <w:t xml:space="preserve">Next review</w:t>
            </w:r>
            <w:r w:rsidDel="00000000" w:rsidR="00000000" w:rsidRPr="00000000">
              <w:rPr>
                <w:rtl w:val="0"/>
              </w:rPr>
            </w:r>
          </w:p>
        </w:tc>
        <w:tc>
          <w:tcPr/>
          <w:p w:rsidR="00000000" w:rsidDel="00000000" w:rsidP="00000000" w:rsidRDefault="00000000" w:rsidRPr="00000000" w14:paraId="00000011">
            <w:pPr>
              <w:rPr/>
            </w:pPr>
            <w:r w:rsidDel="00000000" w:rsidR="00000000" w:rsidRPr="00000000">
              <w:rPr>
                <w:rtl w:val="0"/>
              </w:rPr>
              <w:t xml:space="preserve">14 September 2027, or after a major change or incident</w:t>
            </w:r>
          </w:p>
        </w:tc>
      </w:tr>
      <w:tr>
        <w:trPr>
          <w:cantSplit w:val="0"/>
          <w:tblHeader w:val="0"/>
        </w:trPr>
        <w:tc>
          <w:tcPr/>
          <w:p w:rsidR="00000000" w:rsidDel="00000000" w:rsidP="00000000" w:rsidRDefault="00000000" w:rsidRPr="00000000" w14:paraId="00000012">
            <w:pPr>
              <w:rPr/>
            </w:pPr>
            <w:r w:rsidDel="00000000" w:rsidR="00000000" w:rsidRPr="00000000">
              <w:rPr>
                <w:rtl w:val="0"/>
              </w:rPr>
              <w:t xml:space="preserve">Location</w:t>
            </w:r>
          </w:p>
        </w:tc>
        <w:tc>
          <w:tcPr/>
          <w:p w:rsidR="00000000" w:rsidDel="00000000" w:rsidP="00000000" w:rsidRDefault="00000000" w:rsidRPr="00000000" w14:paraId="00000013">
            <w:pPr>
              <w:rPr/>
            </w:pPr>
            <w:r w:rsidDel="00000000" w:rsidR="00000000" w:rsidRPr="00000000">
              <w:rPr>
                <w:rtl w:val="0"/>
              </w:rPr>
              <w:t xml:space="preserve">Single café premises in Ipswich</w:t>
            </w:r>
          </w:p>
        </w:tc>
        <w:tc>
          <w:tcPr/>
          <w:p w:rsidR="00000000" w:rsidDel="00000000" w:rsidP="00000000" w:rsidRDefault="00000000" w:rsidRPr="00000000" w14:paraId="00000014">
            <w:pPr>
              <w:rPr/>
            </w:pPr>
            <w:r w:rsidDel="00000000" w:rsidR="00000000" w:rsidRPr="00000000">
              <w:rPr>
                <w:b w:val="1"/>
                <w:bCs w:val="1"/>
                <w:rtl w:val="0"/>
              </w:rPr>
              <w:t xml:space="preserve">Main contact</w:t>
            </w:r>
            <w:r w:rsidDel="00000000" w:rsidR="00000000" w:rsidRPr="00000000">
              <w:rPr>
                <w:rtl w:val="0"/>
              </w:rPr>
            </w:r>
          </w:p>
        </w:tc>
        <w:tc>
          <w:tcPr/>
          <w:p w:rsidR="00000000" w:rsidDel="00000000" w:rsidP="00000000" w:rsidRDefault="00000000" w:rsidRPr="00000000" w14:paraId="00000015">
            <w:pPr>
              <w:rPr/>
            </w:pPr>
            <w:r w:rsidDel="00000000" w:rsidR="00000000" w:rsidRPr="00000000">
              <w:rPr>
                <w:rtl w:val="0"/>
              </w:rPr>
              <w:t xml:space="preserve">Alex Morgan, Business Manager</w:t>
            </w:r>
          </w:p>
        </w:tc>
      </w:tr>
      <w:tr>
        <w:trPr>
          <w:cantSplit w:val="0"/>
          <w:tblHeader w:val="0"/>
        </w:trPr>
        <w:tc>
          <w:tcPr/>
          <w:p w:rsidR="00000000" w:rsidDel="00000000" w:rsidP="00000000" w:rsidRDefault="00000000" w:rsidRPr="00000000" w14:paraId="00000016">
            <w:pPr>
              <w:rPr/>
            </w:pPr>
            <w:r w:rsidDel="00000000" w:rsidR="00000000" w:rsidRPr="00000000">
              <w:rPr>
                <w:rtl w:val="0"/>
              </w:rPr>
              <w:t xml:space="preserve">Assessor</w:t>
            </w:r>
          </w:p>
        </w:tc>
        <w:tc>
          <w:tcPr/>
          <w:p w:rsidR="00000000" w:rsidDel="00000000" w:rsidP="00000000" w:rsidRDefault="00000000" w:rsidRPr="00000000" w14:paraId="00000017">
            <w:pPr>
              <w:rPr/>
            </w:pPr>
            <w:r w:rsidDel="00000000" w:rsidR="00000000" w:rsidRPr="00000000">
              <w:rPr>
                <w:rtl w:val="0"/>
              </w:rPr>
              <w:t xml:space="preserve">Alex Morgan with the Head Chef and Shift Supervisor</w:t>
            </w:r>
          </w:p>
        </w:tc>
        <w:tc>
          <w:tcPr/>
          <w:p w:rsidR="00000000" w:rsidDel="00000000" w:rsidP="00000000" w:rsidRDefault="00000000" w:rsidRPr="00000000" w14:paraId="00000018">
            <w:pPr>
              <w:rPr/>
            </w:pPr>
            <w:r w:rsidDel="00000000" w:rsidR="00000000" w:rsidRPr="00000000">
              <w:rPr>
                <w:b w:val="1"/>
                <w:bCs w:val="1"/>
                <w:rtl w:val="0"/>
              </w:rPr>
              <w:t xml:space="preserve">Sector</w:t>
            </w:r>
            <w:r w:rsidDel="00000000" w:rsidR="00000000" w:rsidRPr="00000000">
              <w:rPr>
                <w:rtl w:val="0"/>
              </w:rPr>
            </w:r>
          </w:p>
        </w:tc>
        <w:tc>
          <w:tcPr/>
          <w:p w:rsidR="00000000" w:rsidDel="00000000" w:rsidP="00000000" w:rsidRDefault="00000000" w:rsidRPr="00000000" w14:paraId="00000019">
            <w:pPr>
              <w:rPr/>
            </w:pPr>
            <w:r w:rsidDel="00000000" w:rsidR="00000000" w:rsidRPr="00000000">
              <w:rPr>
                <w:rtl w:val="0"/>
              </w:rPr>
              <w:t xml:space="preserve">Hospitality and community food service</w:t>
            </w:r>
          </w:p>
        </w:tc>
      </w:tr>
      <w:tr>
        <w:trPr>
          <w:cantSplit w:val="0"/>
          <w:tblHeader w:val="0"/>
        </w:trPr>
        <w:tc>
          <w:tcPr/>
          <w:p w:rsidR="00000000" w:rsidDel="00000000" w:rsidP="00000000" w:rsidRDefault="00000000" w:rsidRPr="00000000" w14:paraId="0000001A">
            <w:pPr>
              <w:rPr/>
            </w:pPr>
            <w:r w:rsidDel="00000000" w:rsidR="00000000" w:rsidRPr="00000000">
              <w:rPr>
                <w:rtl w:val="0"/>
              </w:rPr>
              <w:t xml:space="preserve">Regulator / commissioner</w:t>
            </w:r>
          </w:p>
        </w:tc>
        <w:tc>
          <w:tcPr>
            <w:gridSpan w:val="3"/>
          </w:tcPr>
          <w:p w:rsidR="00000000" w:rsidDel="00000000" w:rsidP="00000000" w:rsidRDefault="00000000" w:rsidRPr="00000000" w14:paraId="0000001B">
            <w:pPr>
              <w:rPr/>
            </w:pPr>
            <w:r w:rsidDel="00000000" w:rsidR="00000000" w:rsidRPr="00000000">
              <w:rPr>
                <w:rtl w:val="0"/>
              </w:rPr>
              <w:t xml:space="preserve">Local authority food safety team; community lunch service commissioner</w:t>
            </w:r>
          </w:p>
        </w:tc>
      </w:tr>
    </w:tbl>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ptos" w:cs="Aptos" w:eastAsia="Aptos" w:hAnsi="Aptos"/>
          <w:b w:val="0"/>
          <w:bCs w:val="0"/>
          <w:i w:val="0"/>
          <w:iCs w:val="0"/>
          <w:smallCaps w:val="0"/>
          <w:strike w:val="0"/>
          <w:color w:val="666666"/>
          <w:sz w:val="16"/>
          <w:szCs w:val="16"/>
          <w:u w:val="none"/>
          <w:shd w:fill="auto" w:val="clear"/>
          <w:vertAlign w:val="baseline"/>
        </w:rPr>
      </w:pPr>
      <w:r w:rsidDel="00000000" w:rsidR="00000000" w:rsidRPr="00000000">
        <w:rPr>
          <w:rFonts w:ascii="Aptos" w:cs="Aptos" w:eastAsia="Aptos" w:hAnsi="Aptos"/>
          <w:b w:val="1"/>
          <w:bCs w:val="1"/>
          <w:i w:val="0"/>
          <w:iCs w:val="0"/>
          <w:smallCaps w:val="0"/>
          <w:strike w:val="0"/>
          <w:color w:val="666666"/>
          <w:sz w:val="16"/>
          <w:szCs w:val="16"/>
          <w:u w:val="none"/>
          <w:shd w:fill="auto" w:val="clear"/>
          <w:vertAlign w:val="baseline"/>
          <w:rtl w:val="0"/>
        </w:rPr>
        <w:t xml:space="preserve">Why this is useful:</w:t>
      </w:r>
      <w:r w:rsidDel="00000000" w:rsidR="00000000" w:rsidRPr="00000000">
        <w:rPr>
          <w:rFonts w:ascii="Aptos" w:cs="Aptos" w:eastAsia="Aptos" w:hAnsi="Aptos"/>
          <w:b w:val="0"/>
          <w:bCs w:val="0"/>
          <w:i w:val="0"/>
          <w:iCs w:val="0"/>
          <w:smallCaps w:val="0"/>
          <w:strike w:val="0"/>
          <w:color w:val="666666"/>
          <w:sz w:val="16"/>
          <w:szCs w:val="16"/>
          <w:u w:val="none"/>
          <w:shd w:fill="auto" w:val="clear"/>
          <w:vertAlign w:val="baseline"/>
          <w:rtl w:val="0"/>
        </w:rPr>
        <w:t xml:space="preserve"> It shows who owns the assessment, who has approved it and when it must be reviewed.</w:t>
      </w:r>
    </w:p>
    <w:p w:rsidR="00000000" w:rsidDel="00000000" w:rsidP="00000000" w:rsidRDefault="00000000" w:rsidRPr="00000000" w14:paraId="00000020">
      <w:pPr>
        <w:pStyle w:val="Heading1"/>
        <w:rPr/>
      </w:pPr>
      <w:r w:rsidDel="00000000" w:rsidR="00000000" w:rsidRPr="00000000">
        <w:rPr>
          <w:rtl w:val="0"/>
        </w:rPr>
        <w:t xml:space="preserve">Completed priority products and services</w:t>
      </w:r>
    </w:p>
    <w:tbl>
      <w:tblPr>
        <w:tblStyle w:val="Table2"/>
        <w:tblW w:w="10440.0" w:type="dxa"/>
        <w:jc w:val="left"/>
        <w:tblInd w:w="-108.0" w:type="dxa"/>
        <w:tblBorders>
          <w:top w:color="95b3d7" w:space="0" w:sz="4" w:val="single"/>
          <w:left w:color="95b3d7" w:space="0" w:sz="4" w:val="single"/>
          <w:bottom w:color="95b3d7" w:space="0" w:sz="4" w:val="single"/>
          <w:right w:color="95b3d7" w:space="0" w:sz="4" w:val="single"/>
          <w:insideH w:color="95b3d7" w:space="0" w:sz="4" w:val="single"/>
          <w:insideV w:color="95b3d7" w:space="0" w:sz="4" w:val="single"/>
        </w:tblBorders>
        <w:tblLayout w:type="fixed"/>
        <w:tblLook w:val="04A0"/>
      </w:tblPr>
      <w:tblGrid>
        <w:gridCol w:w="1830"/>
        <w:gridCol w:w="4800"/>
        <w:gridCol w:w="2550"/>
        <w:gridCol w:w="1260"/>
        <w:tblGridChange w:id="0">
          <w:tblGrid>
            <w:gridCol w:w="1830"/>
            <w:gridCol w:w="4800"/>
            <w:gridCol w:w="2550"/>
            <w:gridCol w:w="1260"/>
          </w:tblGrid>
        </w:tblGridChange>
      </w:tblGrid>
      <w:tr>
        <w:trPr>
          <w:cantSplit w:val="0"/>
          <w:tblHeader w:val="0"/>
        </w:trPr>
        <w:tc>
          <w:tcPr/>
          <w:p w:rsidR="00000000" w:rsidDel="00000000" w:rsidP="00000000" w:rsidRDefault="00000000" w:rsidRPr="00000000" w14:paraId="00000021">
            <w:pPr>
              <w:rPr/>
            </w:pPr>
            <w:r w:rsidDel="00000000" w:rsidR="00000000" w:rsidRPr="00000000">
              <w:rPr>
                <w:rtl w:val="0"/>
              </w:rPr>
              <w:t xml:space="preserve">Product / service</w:t>
            </w:r>
          </w:p>
        </w:tc>
        <w:tc>
          <w:tcPr/>
          <w:p w:rsidR="00000000" w:rsidDel="00000000" w:rsidP="00000000" w:rsidRDefault="00000000" w:rsidRPr="00000000" w14:paraId="00000022">
            <w:pPr>
              <w:rPr/>
            </w:pPr>
            <w:r w:rsidDel="00000000" w:rsidR="00000000" w:rsidRPr="00000000">
              <w:rPr>
                <w:rtl w:val="0"/>
              </w:rPr>
              <w:t xml:space="preserve">Why it matters</w:t>
            </w:r>
          </w:p>
        </w:tc>
        <w:tc>
          <w:tcPr/>
          <w:p w:rsidR="00000000" w:rsidDel="00000000" w:rsidP="00000000" w:rsidRDefault="00000000" w:rsidRPr="00000000" w14:paraId="00000023">
            <w:pPr>
              <w:rPr/>
            </w:pPr>
            <w:r w:rsidDel="00000000" w:rsidR="00000000" w:rsidRPr="00000000">
              <w:rPr>
                <w:rtl w:val="0"/>
              </w:rPr>
              <w:t xml:space="preserve">Main customers / users</w:t>
            </w:r>
          </w:p>
        </w:tc>
        <w:tc>
          <w:tcPr/>
          <w:p w:rsidR="00000000" w:rsidDel="00000000" w:rsidP="00000000" w:rsidRDefault="00000000" w:rsidRPr="00000000" w14:paraId="00000024">
            <w:pPr>
              <w:rPr/>
            </w:pPr>
            <w:r w:rsidDel="00000000" w:rsidR="00000000" w:rsidRPr="00000000">
              <w:rPr>
                <w:rtl w:val="0"/>
              </w:rPr>
              <w:t xml:space="preserve">Priority</w:t>
            </w:r>
          </w:p>
        </w:tc>
      </w:tr>
      <w:tr>
        <w:trPr>
          <w:cantSplit w:val="0"/>
          <w:tblHeader w:val="0"/>
        </w:trPr>
        <w:tc>
          <w:tcPr/>
          <w:p w:rsidR="00000000" w:rsidDel="00000000" w:rsidP="00000000" w:rsidRDefault="00000000" w:rsidRPr="00000000" w14:paraId="00000025">
            <w:pPr>
              <w:rPr/>
            </w:pPr>
            <w:r w:rsidDel="00000000" w:rsidR="00000000" w:rsidRPr="00000000">
              <w:rPr>
                <w:rtl w:val="0"/>
              </w:rPr>
              <w:t xml:space="preserve">Community lunch service</w:t>
            </w:r>
          </w:p>
        </w:tc>
        <w:tc>
          <w:tcPr/>
          <w:p w:rsidR="00000000" w:rsidDel="00000000" w:rsidP="00000000" w:rsidRDefault="00000000" w:rsidRPr="00000000" w14:paraId="00000026">
            <w:pPr>
              <w:rPr/>
            </w:pPr>
            <w:r w:rsidDel="00000000" w:rsidR="00000000" w:rsidRPr="00000000">
              <w:rPr>
                <w:rtl w:val="0"/>
              </w:rPr>
              <w:t xml:space="preserve">Provides pre-ordered meals to 35 older and vulnerable residents. Missed deliveries could affect welfare and breach the service agreement.</w:t>
            </w:r>
          </w:p>
        </w:tc>
        <w:tc>
          <w:tcPr/>
          <w:p w:rsidR="00000000" w:rsidDel="00000000" w:rsidP="00000000" w:rsidRDefault="00000000" w:rsidRPr="00000000" w14:paraId="00000027">
            <w:pPr>
              <w:rPr/>
            </w:pPr>
            <w:r w:rsidDel="00000000" w:rsidR="00000000" w:rsidRPr="00000000">
              <w:rPr>
                <w:rtl w:val="0"/>
              </w:rPr>
              <w:t xml:space="preserve">Registered residents and the commissioning organisation</w:t>
            </w:r>
          </w:p>
        </w:tc>
        <w:tc>
          <w:tcPr/>
          <w:p w:rsidR="00000000" w:rsidDel="00000000" w:rsidP="00000000" w:rsidRDefault="00000000" w:rsidRPr="00000000" w14:paraId="00000028">
            <w:pPr>
              <w:rPr/>
            </w:pPr>
            <w:r w:rsidDel="00000000" w:rsidR="00000000" w:rsidRPr="00000000">
              <w:rPr>
                <w:b w:val="1"/>
                <w:bCs w:val="1"/>
                <w:rtl w:val="0"/>
              </w:rPr>
              <w:t xml:space="preserve">Essential</w:t>
            </w:r>
            <w:r w:rsidDel="00000000" w:rsidR="00000000" w:rsidRPr="00000000">
              <w:rPr>
                <w:rtl w:val="0"/>
              </w:rPr>
            </w:r>
          </w:p>
        </w:tc>
      </w:tr>
      <w:tr>
        <w:trPr>
          <w:cantSplit w:val="0"/>
          <w:tblHeader w:val="0"/>
        </w:trPr>
        <w:tc>
          <w:tcPr/>
          <w:p w:rsidR="00000000" w:rsidDel="00000000" w:rsidP="00000000" w:rsidRDefault="00000000" w:rsidRPr="00000000" w14:paraId="00000029">
            <w:pPr>
              <w:rPr/>
            </w:pPr>
            <w:r w:rsidDel="00000000" w:rsidR="00000000" w:rsidRPr="00000000">
              <w:rPr>
                <w:rtl w:val="0"/>
              </w:rPr>
              <w:t xml:space="preserve">On-site café service</w:t>
            </w:r>
          </w:p>
        </w:tc>
        <w:tc>
          <w:tcPr/>
          <w:p w:rsidR="00000000" w:rsidDel="00000000" w:rsidP="00000000" w:rsidRDefault="00000000" w:rsidRPr="00000000" w14:paraId="0000002A">
            <w:pPr>
              <w:rPr/>
            </w:pPr>
            <w:r w:rsidDel="00000000" w:rsidR="00000000" w:rsidRPr="00000000">
              <w:rPr>
                <w:rtl w:val="0"/>
              </w:rPr>
              <w:t xml:space="preserve">Main source of daily income and supports regular customers.</w:t>
            </w:r>
          </w:p>
        </w:tc>
        <w:tc>
          <w:tcPr/>
          <w:p w:rsidR="00000000" w:rsidDel="00000000" w:rsidP="00000000" w:rsidRDefault="00000000" w:rsidRPr="00000000" w14:paraId="0000002B">
            <w:pPr>
              <w:rPr/>
            </w:pPr>
            <w:r w:rsidDel="00000000" w:rsidR="00000000" w:rsidRPr="00000000">
              <w:rPr>
                <w:rtl w:val="0"/>
              </w:rPr>
              <w:t xml:space="preserve">Local residents, workers and visitors</w:t>
            </w:r>
          </w:p>
        </w:tc>
        <w:tc>
          <w:tcPr/>
          <w:p w:rsidR="00000000" w:rsidDel="00000000" w:rsidP="00000000" w:rsidRDefault="00000000" w:rsidRPr="00000000" w14:paraId="0000002C">
            <w:pPr>
              <w:rPr/>
            </w:pPr>
            <w:r w:rsidDel="00000000" w:rsidR="00000000" w:rsidRPr="00000000">
              <w:rPr>
                <w:b w:val="1"/>
                <w:bCs w:val="1"/>
                <w:rtl w:val="0"/>
              </w:rPr>
              <w:t xml:space="preserve">Important</w:t>
            </w:r>
            <w:r w:rsidDel="00000000" w:rsidR="00000000" w:rsidRPr="00000000">
              <w:rPr>
                <w:rtl w:val="0"/>
              </w:rPr>
            </w:r>
          </w:p>
        </w:tc>
      </w:tr>
      <w:tr>
        <w:trPr>
          <w:cantSplit w:val="0"/>
          <w:tblHeader w:val="0"/>
        </w:trPr>
        <w:tc>
          <w:tcPr/>
          <w:p w:rsidR="00000000" w:rsidDel="00000000" w:rsidP="00000000" w:rsidRDefault="00000000" w:rsidRPr="00000000" w14:paraId="0000002D">
            <w:pPr>
              <w:rPr/>
            </w:pPr>
            <w:r w:rsidDel="00000000" w:rsidR="00000000" w:rsidRPr="00000000">
              <w:rPr>
                <w:rtl w:val="0"/>
              </w:rPr>
              <w:t xml:space="preserve">Pre-ordered takeaway catering</w:t>
            </w:r>
          </w:p>
        </w:tc>
        <w:tc>
          <w:tcPr/>
          <w:p w:rsidR="00000000" w:rsidDel="00000000" w:rsidP="00000000" w:rsidRDefault="00000000" w:rsidRPr="00000000" w14:paraId="0000002E">
            <w:pPr>
              <w:rPr/>
            </w:pPr>
            <w:r w:rsidDel="00000000" w:rsidR="00000000" w:rsidRPr="00000000">
              <w:rPr>
                <w:rtl w:val="0"/>
              </w:rPr>
              <w:t xml:space="preserve">Orders are paid in advance and missed commitments may lead to refunds and reputational damage.</w:t>
            </w:r>
          </w:p>
        </w:tc>
        <w:tc>
          <w:tcPr/>
          <w:p w:rsidR="00000000" w:rsidDel="00000000" w:rsidP="00000000" w:rsidRDefault="00000000" w:rsidRPr="00000000" w14:paraId="0000002F">
            <w:pPr>
              <w:rPr/>
            </w:pPr>
            <w:r w:rsidDel="00000000" w:rsidR="00000000" w:rsidRPr="00000000">
              <w:rPr>
                <w:rtl w:val="0"/>
              </w:rPr>
              <w:t xml:space="preserve">Local businesses and community groups</w:t>
            </w:r>
          </w:p>
        </w:tc>
        <w:tc>
          <w:tcPr/>
          <w:p w:rsidR="00000000" w:rsidDel="00000000" w:rsidP="00000000" w:rsidRDefault="00000000" w:rsidRPr="00000000" w14:paraId="00000030">
            <w:pPr>
              <w:rPr/>
            </w:pPr>
            <w:r w:rsidDel="00000000" w:rsidR="00000000" w:rsidRPr="00000000">
              <w:rPr>
                <w:b w:val="1"/>
                <w:bCs w:val="1"/>
                <w:rtl w:val="0"/>
              </w:rPr>
              <w:t xml:space="preserve">Important</w:t>
            </w:r>
            <w:r w:rsidDel="00000000" w:rsidR="00000000" w:rsidRPr="00000000">
              <w:rPr>
                <w:rtl w:val="0"/>
              </w:rPr>
            </w:r>
          </w:p>
        </w:tc>
      </w:tr>
      <w:tr>
        <w:trPr>
          <w:cantSplit w:val="0"/>
          <w:tblHeader w:val="0"/>
        </w:trPr>
        <w:tc>
          <w:tcPr/>
          <w:p w:rsidR="00000000" w:rsidDel="00000000" w:rsidP="00000000" w:rsidRDefault="00000000" w:rsidRPr="00000000" w14:paraId="00000031">
            <w:pPr>
              <w:rPr/>
            </w:pPr>
            <w:r w:rsidDel="00000000" w:rsidR="00000000" w:rsidRPr="00000000">
              <w:rPr>
                <w:rtl w:val="0"/>
              </w:rPr>
              <w:t xml:space="preserve">Room hire</w:t>
            </w:r>
          </w:p>
        </w:tc>
        <w:tc>
          <w:tcPr/>
          <w:p w:rsidR="00000000" w:rsidDel="00000000" w:rsidP="00000000" w:rsidRDefault="00000000" w:rsidRPr="00000000" w14:paraId="00000032">
            <w:pPr>
              <w:rPr/>
            </w:pPr>
            <w:r w:rsidDel="00000000" w:rsidR="00000000" w:rsidRPr="00000000">
              <w:rPr>
                <w:rtl w:val="0"/>
              </w:rPr>
              <w:t xml:space="preserve">Provides additional income but bookings can usually be rearranged.</w:t>
            </w:r>
          </w:p>
        </w:tc>
        <w:tc>
          <w:tcPr/>
          <w:p w:rsidR="00000000" w:rsidDel="00000000" w:rsidP="00000000" w:rsidRDefault="00000000" w:rsidRPr="00000000" w14:paraId="00000033">
            <w:pPr>
              <w:rPr/>
            </w:pPr>
            <w:r w:rsidDel="00000000" w:rsidR="00000000" w:rsidRPr="00000000">
              <w:rPr>
                <w:rtl w:val="0"/>
              </w:rPr>
              <w:t xml:space="preserve">Community groups</w:t>
            </w:r>
          </w:p>
        </w:tc>
        <w:tc>
          <w:tcPr/>
          <w:p w:rsidR="00000000" w:rsidDel="00000000" w:rsidP="00000000" w:rsidRDefault="00000000" w:rsidRPr="00000000" w14:paraId="00000034">
            <w:pPr>
              <w:rPr/>
            </w:pPr>
            <w:r w:rsidDel="00000000" w:rsidR="00000000" w:rsidRPr="00000000">
              <w:rPr>
                <w:b w:val="1"/>
                <w:bCs w:val="1"/>
                <w:rtl w:val="0"/>
              </w:rPr>
              <w:t xml:space="preserve">Other</w:t>
            </w:r>
            <w:r w:rsidDel="00000000" w:rsidR="00000000" w:rsidRPr="00000000">
              <w:rPr>
                <w:rtl w:val="0"/>
              </w:rPr>
            </w:r>
          </w:p>
        </w:tc>
      </w:tr>
    </w:tbl>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ptos" w:cs="Aptos" w:eastAsia="Aptos" w:hAnsi="Aptos"/>
          <w:b w:val="0"/>
          <w:bCs w:val="0"/>
          <w:i w:val="0"/>
          <w:iCs w:val="0"/>
          <w:smallCaps w:val="0"/>
          <w:strike w:val="0"/>
          <w:color w:val="666666"/>
          <w:sz w:val="16"/>
          <w:szCs w:val="16"/>
          <w:u w:val="none"/>
          <w:shd w:fill="auto" w:val="clear"/>
          <w:vertAlign w:val="baseline"/>
        </w:rPr>
      </w:pPr>
      <w:r w:rsidDel="00000000" w:rsidR="00000000" w:rsidRPr="00000000">
        <w:rPr>
          <w:rFonts w:ascii="Aptos" w:cs="Aptos" w:eastAsia="Aptos" w:hAnsi="Aptos"/>
          <w:b w:val="1"/>
          <w:bCs w:val="1"/>
          <w:i w:val="0"/>
          <w:iCs w:val="0"/>
          <w:smallCaps w:val="0"/>
          <w:strike w:val="0"/>
          <w:color w:val="666666"/>
          <w:sz w:val="16"/>
          <w:szCs w:val="16"/>
          <w:u w:val="none"/>
          <w:shd w:fill="auto" w:val="clear"/>
          <w:vertAlign w:val="baseline"/>
          <w:rtl w:val="0"/>
        </w:rPr>
        <w:t xml:space="preserve">Reasoning:</w:t>
      </w:r>
      <w:r w:rsidDel="00000000" w:rsidR="00000000" w:rsidRPr="00000000">
        <w:rPr>
          <w:rFonts w:ascii="Aptos" w:cs="Aptos" w:eastAsia="Aptos" w:hAnsi="Aptos"/>
          <w:b w:val="0"/>
          <w:bCs w:val="0"/>
          <w:i w:val="0"/>
          <w:iCs w:val="0"/>
          <w:smallCaps w:val="0"/>
          <w:strike w:val="0"/>
          <w:color w:val="666666"/>
          <w:sz w:val="16"/>
          <w:szCs w:val="16"/>
          <w:u w:val="none"/>
          <w:shd w:fill="auto" w:val="clear"/>
          <w:vertAlign w:val="baseline"/>
          <w:rtl w:val="0"/>
        </w:rPr>
        <w:t xml:space="preserve"> “Essential” is reserved for the service where disruption creates the quickest and most serious consequences, not simply the service that earns the most money.</w:t>
      </w:r>
    </w:p>
    <w:p w:rsidR="00000000" w:rsidDel="00000000" w:rsidP="00000000" w:rsidRDefault="00000000" w:rsidRPr="00000000" w14:paraId="00000037">
      <w:pPr>
        <w:pStyle w:val="Heading1"/>
        <w:rPr/>
      </w:pPr>
      <w:r w:rsidDel="00000000" w:rsidR="00000000" w:rsidRPr="00000000">
        <w:rPr>
          <w:rtl w:val="0"/>
        </w:rPr>
        <w:t xml:space="preserve">Completed activity assessment</w:t>
      </w:r>
    </w:p>
    <w:p w:rsidR="00000000" w:rsidDel="00000000" w:rsidP="00000000" w:rsidRDefault="00000000" w:rsidRPr="00000000" w14:paraId="00000038">
      <w:pPr>
        <w:rPr/>
      </w:pPr>
      <w:r w:rsidDel="00000000" w:rsidR="00000000" w:rsidRPr="00000000">
        <w:rPr>
          <w:rtl w:val="0"/>
        </w:rPr>
        <w:t xml:space="preserve">This example assesses the activity needed to deliver the </w:t>
      </w:r>
      <w:r w:rsidDel="00000000" w:rsidR="00000000" w:rsidRPr="00000000">
        <w:rPr>
          <w:b w:val="1"/>
          <w:bCs w:val="1"/>
          <w:rtl w:val="0"/>
        </w:rPr>
        <w:t xml:space="preserve">community lunch service</w:t>
      </w:r>
      <w:r w:rsidDel="00000000" w:rsidR="00000000" w:rsidRPr="00000000">
        <w:rPr>
          <w:rtl w:val="0"/>
        </w:rPr>
        <w:t xml:space="preserve">.</w:t>
      </w:r>
    </w:p>
    <w:tbl>
      <w:tblPr>
        <w:tblStyle w:val="Table3"/>
        <w:tblW w:w="10440.0" w:type="dxa"/>
        <w:jc w:val="left"/>
        <w:tblInd w:w="-108.0" w:type="dxa"/>
        <w:tblBorders>
          <w:top w:color="95b3d7" w:space="0" w:sz="4" w:val="single"/>
          <w:left w:color="95b3d7" w:space="0" w:sz="4" w:val="single"/>
          <w:bottom w:color="95b3d7" w:space="0" w:sz="4" w:val="single"/>
          <w:right w:color="95b3d7" w:space="0" w:sz="4" w:val="single"/>
          <w:insideH w:color="95b3d7" w:space="0" w:sz="4" w:val="single"/>
          <w:insideV w:color="95b3d7" w:space="0" w:sz="4" w:val="single"/>
        </w:tblBorders>
        <w:tblLayout w:type="fixed"/>
        <w:tblLook w:val="04A0"/>
      </w:tblPr>
      <w:tblGrid>
        <w:gridCol w:w="2744"/>
        <w:gridCol w:w="958"/>
        <w:gridCol w:w="3542"/>
        <w:gridCol w:w="3196"/>
        <w:tblGridChange w:id="0">
          <w:tblGrid>
            <w:gridCol w:w="2744"/>
            <w:gridCol w:w="958"/>
            <w:gridCol w:w="3542"/>
            <w:gridCol w:w="3196"/>
          </w:tblGrid>
        </w:tblGridChange>
      </w:tblGrid>
      <w:tr>
        <w:trPr>
          <w:cantSplit w:val="0"/>
          <w:tblHeader w:val="0"/>
        </w:trPr>
        <w:tc>
          <w:tcPr/>
          <w:p w:rsidR="00000000" w:rsidDel="00000000" w:rsidP="00000000" w:rsidRDefault="00000000" w:rsidRPr="00000000" w14:paraId="00000039">
            <w:pPr>
              <w:rPr/>
            </w:pPr>
            <w:r w:rsidDel="00000000" w:rsidR="00000000" w:rsidRPr="00000000">
              <w:rPr>
                <w:rtl w:val="0"/>
              </w:rPr>
              <w:t xml:space="preserve">Activity</w:t>
            </w:r>
          </w:p>
        </w:tc>
        <w:tc>
          <w:tcPr/>
          <w:p w:rsidR="00000000" w:rsidDel="00000000" w:rsidP="00000000" w:rsidRDefault="00000000" w:rsidRPr="00000000" w14:paraId="0000003A">
            <w:pPr>
              <w:rPr/>
            </w:pPr>
            <w:r w:rsidDel="00000000" w:rsidR="00000000" w:rsidRPr="00000000">
              <w:rPr>
                <w:rtl w:val="0"/>
              </w:rPr>
              <w:t xml:space="preserve">Owner</w:t>
            </w:r>
          </w:p>
        </w:tc>
        <w:tc>
          <w:tcPr/>
          <w:p w:rsidR="00000000" w:rsidDel="00000000" w:rsidP="00000000" w:rsidRDefault="00000000" w:rsidRPr="00000000" w14:paraId="0000003B">
            <w:pPr>
              <w:rPr/>
            </w:pPr>
            <w:r w:rsidDel="00000000" w:rsidR="00000000" w:rsidRPr="00000000">
              <w:rPr>
                <w:rtl w:val="0"/>
              </w:rPr>
              <w:t xml:space="preserve">Normal delivery</w:t>
            </w:r>
          </w:p>
        </w:tc>
        <w:tc>
          <w:tcPr/>
          <w:p w:rsidR="00000000" w:rsidDel="00000000" w:rsidP="00000000" w:rsidRDefault="00000000" w:rsidRPr="00000000" w14:paraId="0000003C">
            <w:pPr>
              <w:rPr/>
            </w:pPr>
            <w:r w:rsidDel="00000000" w:rsidR="00000000" w:rsidRPr="00000000">
              <w:rPr>
                <w:rtl w:val="0"/>
              </w:rPr>
              <w:t xml:space="preserve">Minimum staffing</w:t>
            </w:r>
          </w:p>
        </w:tc>
      </w:tr>
      <w:tr>
        <w:trPr>
          <w:cantSplit w:val="0"/>
          <w:tblHeader w:val="0"/>
        </w:trPr>
        <w:tc>
          <w:tcPr/>
          <w:p w:rsidR="00000000" w:rsidDel="00000000" w:rsidP="00000000" w:rsidRDefault="00000000" w:rsidRPr="00000000" w14:paraId="0000003D">
            <w:pPr>
              <w:rPr/>
            </w:pPr>
            <w:r w:rsidDel="00000000" w:rsidR="00000000" w:rsidRPr="00000000">
              <w:rPr>
                <w:rtl w:val="0"/>
              </w:rPr>
              <w:t xml:space="preserve">Prepare, pack and distribute community lunches</w:t>
            </w:r>
          </w:p>
        </w:tc>
        <w:tc>
          <w:tcPr/>
          <w:p w:rsidR="00000000" w:rsidDel="00000000" w:rsidP="00000000" w:rsidRDefault="00000000" w:rsidRPr="00000000" w14:paraId="0000003E">
            <w:pPr>
              <w:rPr/>
            </w:pPr>
            <w:r w:rsidDel="00000000" w:rsidR="00000000" w:rsidRPr="00000000">
              <w:rPr>
                <w:rtl w:val="0"/>
              </w:rPr>
              <w:t xml:space="preserve">Head Chef</w:t>
            </w:r>
          </w:p>
        </w:tc>
        <w:tc>
          <w:tcPr/>
          <w:p w:rsidR="00000000" w:rsidDel="00000000" w:rsidP="00000000" w:rsidRDefault="00000000" w:rsidRPr="00000000" w14:paraId="0000003F">
            <w:pPr>
              <w:rPr/>
            </w:pPr>
            <w:r w:rsidDel="00000000" w:rsidR="00000000" w:rsidRPr="00000000">
              <w:rPr>
                <w:rtl w:val="0"/>
              </w:rPr>
              <w:t xml:space="preserve">35 meals prepared and delivered Monday to Friday between 11:30 and 13:30</w:t>
            </w:r>
          </w:p>
        </w:tc>
        <w:tc>
          <w:tcPr/>
          <w:p w:rsidR="00000000" w:rsidDel="00000000" w:rsidP="00000000" w:rsidRDefault="00000000" w:rsidRPr="00000000" w14:paraId="00000040">
            <w:pPr>
              <w:rPr/>
            </w:pPr>
            <w:r w:rsidDel="00000000" w:rsidR="00000000" w:rsidRPr="00000000">
              <w:rPr>
                <w:rtl w:val="0"/>
              </w:rPr>
              <w:t xml:space="preserve">One trained cook, one food preparation assistant and one driver</w:t>
            </w:r>
          </w:p>
        </w:tc>
      </w:tr>
    </w:tbl>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b w:val="1"/>
          <w:bCs w:val="1"/>
          <w:rtl w:val="0"/>
        </w:rPr>
        <w:t xml:space="preserve">Rating key used in this example:</w:t>
      </w:r>
      <w:r w:rsidDel="00000000" w:rsidR="00000000" w:rsidRPr="00000000">
        <w:rPr>
          <w:rtl w:val="0"/>
        </w:rPr>
        <w:t xml:space="preserve"> Green = limited impact; Amber = manageable but increasing concern; Red = serious impact requiring urgent action; Black = intolerable impact where the activity cannot safely or lawfully continue.</w:t>
      </w:r>
    </w:p>
    <w:p w:rsidR="00000000" w:rsidDel="00000000" w:rsidP="00000000" w:rsidRDefault="00000000" w:rsidRPr="00000000" w14:paraId="00000043">
      <w:pPr>
        <w:pStyle w:val="Heading2"/>
        <w:rPr>
          <w:rFonts w:ascii="Cambria" w:cs="Cambria" w:eastAsia="Cambria" w:hAnsi="Cambria"/>
          <w:sz w:val="36"/>
          <w:szCs w:val="36"/>
        </w:rPr>
      </w:pPr>
      <w:r w:rsidDel="00000000" w:rsidR="00000000" w:rsidRPr="00000000">
        <w:rPr>
          <w:rFonts w:ascii="Cambria" w:cs="Cambria" w:eastAsia="Cambria" w:hAnsi="Cambria"/>
          <w:rtl w:val="0"/>
        </w:rPr>
        <w:t xml:space="preserve">Impact over time</w:t>
      </w:r>
      <w:r w:rsidDel="00000000" w:rsidR="00000000" w:rsidRPr="00000000">
        <w:rPr>
          <w:rtl w:val="0"/>
        </w:rPr>
      </w:r>
    </w:p>
    <w:tbl>
      <w:tblPr>
        <w:tblStyle w:val="Table4"/>
        <w:tblW w:w="10440.0" w:type="dxa"/>
        <w:jc w:val="left"/>
        <w:tblInd w:w="-108.0" w:type="dxa"/>
        <w:tblBorders>
          <w:top w:color="95b3d7" w:space="0" w:sz="4" w:val="single"/>
          <w:left w:color="95b3d7" w:space="0" w:sz="4" w:val="single"/>
          <w:bottom w:color="95b3d7" w:space="0" w:sz="4" w:val="single"/>
          <w:right w:color="95b3d7" w:space="0" w:sz="4" w:val="single"/>
          <w:insideH w:color="95b3d7" w:space="0" w:sz="4" w:val="single"/>
          <w:insideV w:color="95b3d7" w:space="0" w:sz="4" w:val="single"/>
        </w:tblBorders>
        <w:tblLayout w:type="fixed"/>
        <w:tblLook w:val="04A0"/>
      </w:tblPr>
      <w:tblGrid>
        <w:gridCol w:w="1569"/>
        <w:gridCol w:w="2270"/>
        <w:gridCol w:w="2119"/>
        <w:gridCol w:w="2244"/>
        <w:gridCol w:w="2238"/>
        <w:tblGridChange w:id="0">
          <w:tblGrid>
            <w:gridCol w:w="1569"/>
            <w:gridCol w:w="2270"/>
            <w:gridCol w:w="2119"/>
            <w:gridCol w:w="2244"/>
            <w:gridCol w:w="2238"/>
          </w:tblGrid>
        </w:tblGridChange>
      </w:tblGrid>
      <w:tr>
        <w:trPr>
          <w:cantSplit w:val="0"/>
          <w:tblHeader w:val="0"/>
        </w:trPr>
        <w:tc>
          <w:tcPr/>
          <w:p w:rsidR="00000000" w:rsidDel="00000000" w:rsidP="00000000" w:rsidRDefault="00000000" w:rsidRPr="00000000" w14:paraId="00000044">
            <w:pPr>
              <w:rPr/>
            </w:pPr>
            <w:r w:rsidDel="00000000" w:rsidR="00000000" w:rsidRPr="00000000">
              <w:rPr>
                <w:rtl w:val="0"/>
              </w:rPr>
              <w:t xml:space="preserve">Impact area</w:t>
            </w:r>
          </w:p>
        </w:tc>
        <w:tc>
          <w:tcPr/>
          <w:p w:rsidR="00000000" w:rsidDel="00000000" w:rsidP="00000000" w:rsidRDefault="00000000" w:rsidRPr="00000000" w14:paraId="00000045">
            <w:pPr>
              <w:rPr/>
            </w:pPr>
            <w:r w:rsidDel="00000000" w:rsidR="00000000" w:rsidRPr="00000000">
              <w:rPr>
                <w:rtl w:val="0"/>
              </w:rPr>
              <w:t xml:space="preserve">0–4 hours</w:t>
            </w:r>
          </w:p>
        </w:tc>
        <w:tc>
          <w:tcPr/>
          <w:p w:rsidR="00000000" w:rsidDel="00000000" w:rsidP="00000000" w:rsidRDefault="00000000" w:rsidRPr="00000000" w14:paraId="00000046">
            <w:pPr>
              <w:rPr/>
            </w:pPr>
            <w:r w:rsidDel="00000000" w:rsidR="00000000" w:rsidRPr="00000000">
              <w:rPr>
                <w:rtl w:val="0"/>
              </w:rPr>
              <w:t xml:space="preserve">Within 24 hours</w:t>
            </w:r>
          </w:p>
        </w:tc>
        <w:tc>
          <w:tcPr/>
          <w:p w:rsidR="00000000" w:rsidDel="00000000" w:rsidP="00000000" w:rsidRDefault="00000000" w:rsidRPr="00000000" w14:paraId="00000047">
            <w:pPr>
              <w:rPr/>
            </w:pPr>
            <w:r w:rsidDel="00000000" w:rsidR="00000000" w:rsidRPr="00000000">
              <w:rPr>
                <w:rtl w:val="0"/>
              </w:rPr>
              <w:t xml:space="preserve">1–3 days</w:t>
            </w:r>
          </w:p>
        </w:tc>
        <w:tc>
          <w:tcPr/>
          <w:p w:rsidR="00000000" w:rsidDel="00000000" w:rsidP="00000000" w:rsidRDefault="00000000" w:rsidRPr="00000000" w14:paraId="00000048">
            <w:pPr>
              <w:rPr/>
            </w:pPr>
            <w:r w:rsidDel="00000000" w:rsidR="00000000" w:rsidRPr="00000000">
              <w:rPr>
                <w:rtl w:val="0"/>
              </w:rPr>
              <w:t xml:space="preserve">Up to 1 week</w:t>
            </w:r>
          </w:p>
        </w:tc>
      </w:tr>
      <w:tr>
        <w:trPr>
          <w:cantSplit w:val="0"/>
          <w:tblHeader w:val="0"/>
        </w:trPr>
        <w:tc>
          <w:tcPr/>
          <w:p w:rsidR="00000000" w:rsidDel="00000000" w:rsidP="00000000" w:rsidRDefault="00000000" w:rsidRPr="00000000" w14:paraId="00000049">
            <w:pPr>
              <w:rPr/>
            </w:pPr>
            <w:r w:rsidDel="00000000" w:rsidR="00000000" w:rsidRPr="00000000">
              <w:rPr>
                <w:rtl w:val="0"/>
              </w:rPr>
              <w:t xml:space="preserve">Safety / welfare</w:t>
            </w:r>
          </w:p>
        </w:tc>
        <w:tc>
          <w:tcPr/>
          <w:p w:rsidR="00000000" w:rsidDel="00000000" w:rsidP="00000000" w:rsidRDefault="00000000" w:rsidRPr="00000000" w14:paraId="0000004A">
            <w:pPr>
              <w:rPr/>
            </w:pPr>
            <w:r w:rsidDel="00000000" w:rsidR="00000000" w:rsidRPr="00000000">
              <w:rPr>
                <w:rtl w:val="0"/>
              </w:rPr>
              <w:t xml:space="preserve">Green – meals can still be prepared if the issue is resolved quickly.</w:t>
            </w:r>
          </w:p>
        </w:tc>
        <w:tc>
          <w:tcPr/>
          <w:p w:rsidR="00000000" w:rsidDel="00000000" w:rsidP="00000000" w:rsidRDefault="00000000" w:rsidRPr="00000000" w14:paraId="0000004B">
            <w:pPr>
              <w:rPr/>
            </w:pPr>
            <w:r w:rsidDel="00000000" w:rsidR="00000000" w:rsidRPr="00000000">
              <w:rPr>
                <w:rtl w:val="0"/>
              </w:rPr>
              <w:t xml:space="preserve">Amber – some residents may miss their expected meal and welfare check.</w:t>
            </w:r>
          </w:p>
        </w:tc>
        <w:tc>
          <w:tcPr/>
          <w:p w:rsidR="00000000" w:rsidDel="00000000" w:rsidP="00000000" w:rsidRDefault="00000000" w:rsidRPr="00000000" w14:paraId="0000004C">
            <w:pPr>
              <w:rPr/>
            </w:pPr>
            <w:r w:rsidDel="00000000" w:rsidR="00000000" w:rsidRPr="00000000">
              <w:rPr>
                <w:rtl w:val="0"/>
              </w:rPr>
              <w:t xml:space="preserve">Red – repeated missed meals create a significant welfare concern.</w:t>
            </w:r>
          </w:p>
        </w:tc>
        <w:tc>
          <w:tcPr/>
          <w:p w:rsidR="00000000" w:rsidDel="00000000" w:rsidP="00000000" w:rsidRDefault="00000000" w:rsidRPr="00000000" w14:paraId="0000004D">
            <w:pPr>
              <w:rPr/>
            </w:pPr>
            <w:r w:rsidDel="00000000" w:rsidR="00000000" w:rsidRPr="00000000">
              <w:rPr>
                <w:rtl w:val="0"/>
              </w:rPr>
              <w:t xml:space="preserve">Black – prolonged failure is unacceptable without an alternative provider.</w:t>
            </w:r>
          </w:p>
        </w:tc>
      </w:tr>
      <w:tr>
        <w:trPr>
          <w:cantSplit w:val="0"/>
          <w:tblHeader w:val="0"/>
        </w:trPr>
        <w:tc>
          <w:tcPr/>
          <w:p w:rsidR="00000000" w:rsidDel="00000000" w:rsidP="00000000" w:rsidRDefault="00000000" w:rsidRPr="00000000" w14:paraId="0000004E">
            <w:pPr>
              <w:rPr/>
            </w:pPr>
            <w:r w:rsidDel="00000000" w:rsidR="00000000" w:rsidRPr="00000000">
              <w:rPr>
                <w:rtl w:val="0"/>
              </w:rPr>
              <w:t xml:space="preserve">Customers / service</w:t>
            </w:r>
          </w:p>
        </w:tc>
        <w:tc>
          <w:tcPr/>
          <w:p w:rsidR="00000000" w:rsidDel="00000000" w:rsidP="00000000" w:rsidRDefault="00000000" w:rsidRPr="00000000" w14:paraId="0000004F">
            <w:pPr>
              <w:rPr/>
            </w:pPr>
            <w:r w:rsidDel="00000000" w:rsidR="00000000" w:rsidRPr="00000000">
              <w:rPr>
                <w:rtl w:val="0"/>
              </w:rPr>
              <w:t xml:space="preserve">Amber – deliveries may be late and customers need updating.</w:t>
            </w:r>
          </w:p>
        </w:tc>
        <w:tc>
          <w:tcPr/>
          <w:p w:rsidR="00000000" w:rsidDel="00000000" w:rsidP="00000000" w:rsidRDefault="00000000" w:rsidRPr="00000000" w14:paraId="00000050">
            <w:pPr>
              <w:rPr/>
            </w:pPr>
            <w:r w:rsidDel="00000000" w:rsidR="00000000" w:rsidRPr="00000000">
              <w:rPr>
                <w:rtl w:val="0"/>
              </w:rPr>
              <w:t xml:space="preserve">Red – the daily commitment is missed.</w:t>
            </w:r>
          </w:p>
        </w:tc>
        <w:tc>
          <w:tcPr/>
          <w:p w:rsidR="00000000" w:rsidDel="00000000" w:rsidP="00000000" w:rsidRDefault="00000000" w:rsidRPr="00000000" w14:paraId="00000051">
            <w:pPr>
              <w:rPr/>
            </w:pPr>
            <w:r w:rsidDel="00000000" w:rsidR="00000000" w:rsidRPr="00000000">
              <w:rPr>
                <w:rtl w:val="0"/>
              </w:rPr>
              <w:t xml:space="preserve">Red – complaints and safeguarding escalations are likely.</w:t>
            </w:r>
          </w:p>
        </w:tc>
        <w:tc>
          <w:tcPr/>
          <w:p w:rsidR="00000000" w:rsidDel="00000000" w:rsidP="00000000" w:rsidRDefault="00000000" w:rsidRPr="00000000" w14:paraId="00000052">
            <w:pPr>
              <w:rPr/>
            </w:pPr>
            <w:r w:rsidDel="00000000" w:rsidR="00000000" w:rsidRPr="00000000">
              <w:rPr>
                <w:rtl w:val="0"/>
              </w:rPr>
              <w:t xml:space="preserve">Black – the contracted service is no longer being delivered.</w:t>
            </w:r>
          </w:p>
        </w:tc>
      </w:tr>
      <w:tr>
        <w:trPr>
          <w:cantSplit w:val="0"/>
          <w:tblHeader w:val="0"/>
        </w:trPr>
        <w:tc>
          <w:tcPr/>
          <w:p w:rsidR="00000000" w:rsidDel="00000000" w:rsidP="00000000" w:rsidRDefault="00000000" w:rsidRPr="00000000" w14:paraId="00000053">
            <w:pPr>
              <w:rPr/>
            </w:pPr>
            <w:r w:rsidDel="00000000" w:rsidR="00000000" w:rsidRPr="00000000">
              <w:rPr>
                <w:rtl w:val="0"/>
              </w:rPr>
              <w:t xml:space="preserve">Financial / commercial</w:t>
            </w:r>
          </w:p>
        </w:tc>
        <w:tc>
          <w:tcPr/>
          <w:p w:rsidR="00000000" w:rsidDel="00000000" w:rsidP="00000000" w:rsidRDefault="00000000" w:rsidRPr="00000000" w14:paraId="00000054">
            <w:pPr>
              <w:rPr/>
            </w:pPr>
            <w:r w:rsidDel="00000000" w:rsidR="00000000" w:rsidRPr="00000000">
              <w:rPr>
                <w:rtl w:val="0"/>
              </w:rPr>
              <w:t xml:space="preserve">Green – minor additional cost.</w:t>
            </w:r>
          </w:p>
        </w:tc>
        <w:tc>
          <w:tcPr/>
          <w:p w:rsidR="00000000" w:rsidDel="00000000" w:rsidP="00000000" w:rsidRDefault="00000000" w:rsidRPr="00000000" w14:paraId="00000055">
            <w:pPr>
              <w:rPr/>
            </w:pPr>
            <w:r w:rsidDel="00000000" w:rsidR="00000000" w:rsidRPr="00000000">
              <w:rPr>
                <w:rtl w:val="0"/>
              </w:rPr>
              <w:t xml:space="preserve">Amber – refunds, replacement food or transport may be needed.</w:t>
            </w:r>
          </w:p>
        </w:tc>
        <w:tc>
          <w:tcPr/>
          <w:p w:rsidR="00000000" w:rsidDel="00000000" w:rsidP="00000000" w:rsidRDefault="00000000" w:rsidRPr="00000000" w14:paraId="00000056">
            <w:pPr>
              <w:rPr/>
            </w:pPr>
            <w:r w:rsidDel="00000000" w:rsidR="00000000" w:rsidRPr="00000000">
              <w:rPr>
                <w:rtl w:val="0"/>
              </w:rPr>
              <w:t xml:space="preserve">Red – lost income and emergency supplier costs increase.</w:t>
            </w:r>
          </w:p>
        </w:tc>
        <w:tc>
          <w:tcPr/>
          <w:p w:rsidR="00000000" w:rsidDel="00000000" w:rsidP="00000000" w:rsidRDefault="00000000" w:rsidRPr="00000000" w14:paraId="00000057">
            <w:pPr>
              <w:rPr/>
            </w:pPr>
            <w:r w:rsidDel="00000000" w:rsidR="00000000" w:rsidRPr="00000000">
              <w:rPr>
                <w:rtl w:val="0"/>
              </w:rPr>
              <w:t xml:space="preserve">Red – sustained losses threaten cash flow.</w:t>
            </w:r>
          </w:p>
        </w:tc>
      </w:tr>
      <w:tr>
        <w:trPr>
          <w:cantSplit w:val="0"/>
          <w:tblHeader w:val="0"/>
        </w:trPr>
        <w:tc>
          <w:tcPr/>
          <w:p w:rsidR="00000000" w:rsidDel="00000000" w:rsidP="00000000" w:rsidRDefault="00000000" w:rsidRPr="00000000" w14:paraId="00000058">
            <w:pPr>
              <w:rPr/>
            </w:pPr>
            <w:r w:rsidDel="00000000" w:rsidR="00000000" w:rsidRPr="00000000">
              <w:rPr>
                <w:rtl w:val="0"/>
              </w:rPr>
              <w:t xml:space="preserve">Legal / regulatory / contractual</w:t>
            </w:r>
          </w:p>
        </w:tc>
        <w:tc>
          <w:tcPr/>
          <w:p w:rsidR="00000000" w:rsidDel="00000000" w:rsidP="00000000" w:rsidRDefault="00000000" w:rsidRPr="00000000" w14:paraId="00000059">
            <w:pPr>
              <w:rPr/>
            </w:pPr>
            <w:r w:rsidDel="00000000" w:rsidR="00000000" w:rsidRPr="00000000">
              <w:rPr>
                <w:rtl w:val="0"/>
              </w:rPr>
              <w:t xml:space="preserve">Green – no immediate breach if food safety controls remain effective.</w:t>
            </w:r>
          </w:p>
        </w:tc>
        <w:tc>
          <w:tcPr/>
          <w:p w:rsidR="00000000" w:rsidDel="00000000" w:rsidP="00000000" w:rsidRDefault="00000000" w:rsidRPr="00000000" w14:paraId="0000005A">
            <w:pPr>
              <w:rPr/>
            </w:pPr>
            <w:r w:rsidDel="00000000" w:rsidR="00000000" w:rsidRPr="00000000">
              <w:rPr>
                <w:rtl w:val="0"/>
              </w:rPr>
              <w:t xml:space="preserve">Amber – service failure must be reported under the contract.</w:t>
            </w:r>
          </w:p>
        </w:tc>
        <w:tc>
          <w:tcPr/>
          <w:p w:rsidR="00000000" w:rsidDel="00000000" w:rsidP="00000000" w:rsidRDefault="00000000" w:rsidRPr="00000000" w14:paraId="0000005B">
            <w:pPr>
              <w:rPr/>
            </w:pPr>
            <w:r w:rsidDel="00000000" w:rsidR="00000000" w:rsidRPr="00000000">
              <w:rPr>
                <w:rtl w:val="0"/>
              </w:rPr>
              <w:t xml:space="preserve">Red – repeated failure may breach contractual and food safety requirements.</w:t>
            </w:r>
          </w:p>
        </w:tc>
        <w:tc>
          <w:tcPr/>
          <w:p w:rsidR="00000000" w:rsidDel="00000000" w:rsidP="00000000" w:rsidRDefault="00000000" w:rsidRPr="00000000" w14:paraId="0000005C">
            <w:pPr>
              <w:rPr/>
            </w:pPr>
            <w:r w:rsidDel="00000000" w:rsidR="00000000" w:rsidRPr="00000000">
              <w:rPr>
                <w:rtl w:val="0"/>
              </w:rPr>
              <w:t xml:space="preserve">Black – serious contractual and regulatory consequences are possible.</w:t>
            </w:r>
          </w:p>
        </w:tc>
      </w:tr>
      <w:tr>
        <w:trPr>
          <w:cantSplit w:val="0"/>
          <w:tblHeader w:val="0"/>
        </w:trPr>
        <w:tc>
          <w:tcPr/>
          <w:p w:rsidR="00000000" w:rsidDel="00000000" w:rsidP="00000000" w:rsidRDefault="00000000" w:rsidRPr="00000000" w14:paraId="0000005D">
            <w:pPr>
              <w:rPr/>
            </w:pPr>
            <w:r w:rsidDel="00000000" w:rsidR="00000000" w:rsidRPr="00000000">
              <w:rPr>
                <w:rtl w:val="0"/>
              </w:rPr>
              <w:t xml:space="preserve">Reputation / confidence</w:t>
            </w:r>
          </w:p>
        </w:tc>
        <w:tc>
          <w:tcPr/>
          <w:p w:rsidR="00000000" w:rsidDel="00000000" w:rsidP="00000000" w:rsidRDefault="00000000" w:rsidRPr="00000000" w14:paraId="0000005E">
            <w:pPr>
              <w:rPr/>
            </w:pPr>
            <w:r w:rsidDel="00000000" w:rsidR="00000000" w:rsidRPr="00000000">
              <w:rPr>
                <w:rtl w:val="0"/>
              </w:rPr>
              <w:t xml:space="preserve">Green – limited if communication is prompt.</w:t>
            </w:r>
          </w:p>
        </w:tc>
        <w:tc>
          <w:tcPr/>
          <w:p w:rsidR="00000000" w:rsidDel="00000000" w:rsidP="00000000" w:rsidRDefault="00000000" w:rsidRPr="00000000" w14:paraId="0000005F">
            <w:pPr>
              <w:rPr/>
            </w:pPr>
            <w:r w:rsidDel="00000000" w:rsidR="00000000" w:rsidRPr="00000000">
              <w:rPr>
                <w:rtl w:val="0"/>
              </w:rPr>
              <w:t xml:space="preserve">Amber – customers and families may lose confidence.</w:t>
            </w:r>
          </w:p>
        </w:tc>
        <w:tc>
          <w:tcPr/>
          <w:p w:rsidR="00000000" w:rsidDel="00000000" w:rsidP="00000000" w:rsidRDefault="00000000" w:rsidRPr="00000000" w14:paraId="00000060">
            <w:pPr>
              <w:rPr/>
            </w:pPr>
            <w:r w:rsidDel="00000000" w:rsidR="00000000" w:rsidRPr="00000000">
              <w:rPr>
                <w:rtl w:val="0"/>
              </w:rPr>
              <w:t xml:space="preserve">Red – complaints and negative publicity become likely.</w:t>
            </w:r>
          </w:p>
        </w:tc>
        <w:tc>
          <w:tcPr/>
          <w:p w:rsidR="00000000" w:rsidDel="00000000" w:rsidP="00000000" w:rsidRDefault="00000000" w:rsidRPr="00000000" w14:paraId="00000061">
            <w:pPr>
              <w:rPr/>
            </w:pPr>
            <w:r w:rsidDel="00000000" w:rsidR="00000000" w:rsidRPr="00000000">
              <w:rPr>
                <w:rtl w:val="0"/>
              </w:rPr>
              <w:t xml:space="preserve">Red – long-term damage to trust and future contracts.</w:t>
            </w:r>
          </w:p>
        </w:tc>
      </w:tr>
      <w:tr>
        <w:trPr>
          <w:cantSplit w:val="0"/>
          <w:tblHeader w:val="0"/>
        </w:trPr>
        <w:tc>
          <w:tcPr/>
          <w:p w:rsidR="00000000" w:rsidDel="00000000" w:rsidP="00000000" w:rsidRDefault="00000000" w:rsidRPr="00000000" w14:paraId="00000062">
            <w:pPr>
              <w:rPr/>
            </w:pPr>
            <w:r w:rsidDel="00000000" w:rsidR="00000000" w:rsidRPr="00000000">
              <w:rPr>
                <w:rtl w:val="0"/>
              </w:rPr>
              <w:t xml:space="preserve">Other</w:t>
            </w:r>
          </w:p>
        </w:tc>
        <w:tc>
          <w:tcPr/>
          <w:p w:rsidR="00000000" w:rsidDel="00000000" w:rsidP="00000000" w:rsidRDefault="00000000" w:rsidRPr="00000000" w14:paraId="00000063">
            <w:pPr>
              <w:rPr/>
            </w:pPr>
            <w:r w:rsidDel="00000000" w:rsidR="00000000" w:rsidRPr="00000000">
              <w:rPr>
                <w:rtl w:val="0"/>
              </w:rPr>
              <w:t xml:space="preserve">Green – staff can manage a short disruption.</w:t>
            </w:r>
          </w:p>
        </w:tc>
        <w:tc>
          <w:tcPr/>
          <w:p w:rsidR="00000000" w:rsidDel="00000000" w:rsidP="00000000" w:rsidRDefault="00000000" w:rsidRPr="00000000" w14:paraId="00000064">
            <w:pPr>
              <w:rPr/>
            </w:pPr>
            <w:r w:rsidDel="00000000" w:rsidR="00000000" w:rsidRPr="00000000">
              <w:rPr>
                <w:rtl w:val="0"/>
              </w:rPr>
              <w:t xml:space="preserve">Amber – staff pressure and overtime increase.</w:t>
            </w:r>
          </w:p>
        </w:tc>
        <w:tc>
          <w:tcPr/>
          <w:p w:rsidR="00000000" w:rsidDel="00000000" w:rsidP="00000000" w:rsidRDefault="00000000" w:rsidRPr="00000000" w14:paraId="00000065">
            <w:pPr>
              <w:rPr/>
            </w:pPr>
            <w:r w:rsidDel="00000000" w:rsidR="00000000" w:rsidRPr="00000000">
              <w:rPr>
                <w:rtl w:val="0"/>
              </w:rPr>
              <w:t xml:space="preserve">Red – fatigue and absence may affect other services.</w:t>
            </w:r>
          </w:p>
        </w:tc>
        <w:tc>
          <w:tcPr/>
          <w:p w:rsidR="00000000" w:rsidDel="00000000" w:rsidP="00000000" w:rsidRDefault="00000000" w:rsidRPr="00000000" w14:paraId="00000066">
            <w:pPr>
              <w:rPr/>
            </w:pPr>
            <w:r w:rsidDel="00000000" w:rsidR="00000000" w:rsidRPr="00000000">
              <w:rPr>
                <w:rtl w:val="0"/>
              </w:rPr>
              <w:t xml:space="preserve">Red – wider café operations become difficult to sustain.</w:t>
            </w:r>
          </w:p>
        </w:tc>
      </w:tr>
    </w:tbl>
    <w:p w:rsidR="00000000" w:rsidDel="00000000" w:rsidP="00000000" w:rsidRDefault="00000000" w:rsidRPr="00000000" w14:paraId="00000067">
      <w:pPr>
        <w:spacing w:after="20" w:lineRule="auto"/>
        <w:rPr/>
      </w:pPr>
      <w:r w:rsidDel="00000000" w:rsidR="00000000" w:rsidRPr="00000000">
        <w:rPr>
          <w:rtl w:val="0"/>
        </w:rPr>
        <w:t xml:space="preserve">*G - Green (low) , A - Amber (Medium), R - Red (High), B - Black (Severe)</w:t>
      </w:r>
    </w:p>
    <w:p w:rsidR="00000000" w:rsidDel="00000000" w:rsidP="00000000" w:rsidRDefault="00000000" w:rsidRPr="00000000" w14:paraId="00000068">
      <w:pPr>
        <w:spacing w:after="20" w:lineRule="auto"/>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ptos" w:cs="Aptos" w:eastAsia="Aptos" w:hAnsi="Aptos"/>
          <w:b w:val="0"/>
          <w:bCs w:val="0"/>
          <w:i w:val="0"/>
          <w:iCs w:val="0"/>
          <w:smallCaps w:val="0"/>
          <w:strike w:val="0"/>
          <w:color w:val="666666"/>
          <w:sz w:val="16"/>
          <w:szCs w:val="16"/>
          <w:u w:val="none"/>
          <w:shd w:fill="auto" w:val="clear"/>
          <w:vertAlign w:val="baseline"/>
        </w:rPr>
      </w:pPr>
      <w:r w:rsidDel="00000000" w:rsidR="00000000" w:rsidRPr="00000000">
        <w:rPr>
          <w:rFonts w:ascii="Aptos" w:cs="Aptos" w:eastAsia="Aptos" w:hAnsi="Aptos"/>
          <w:b w:val="1"/>
          <w:bCs w:val="1"/>
          <w:i w:val="0"/>
          <w:iCs w:val="0"/>
          <w:smallCaps w:val="0"/>
          <w:strike w:val="0"/>
          <w:color w:val="666666"/>
          <w:sz w:val="16"/>
          <w:szCs w:val="16"/>
          <w:u w:val="none"/>
          <w:shd w:fill="auto" w:val="clear"/>
          <w:vertAlign w:val="baseline"/>
          <w:rtl w:val="0"/>
        </w:rPr>
        <w:t xml:space="preserve">Good practice:</w:t>
      </w:r>
      <w:r w:rsidDel="00000000" w:rsidR="00000000" w:rsidRPr="00000000">
        <w:rPr>
          <w:rFonts w:ascii="Aptos" w:cs="Aptos" w:eastAsia="Aptos" w:hAnsi="Aptos"/>
          <w:b w:val="0"/>
          <w:bCs w:val="0"/>
          <w:i w:val="0"/>
          <w:iCs w:val="0"/>
          <w:smallCaps w:val="0"/>
          <w:strike w:val="0"/>
          <w:color w:val="666666"/>
          <w:sz w:val="16"/>
          <w:szCs w:val="16"/>
          <w:u w:val="none"/>
          <w:shd w:fill="auto" w:val="clear"/>
          <w:vertAlign w:val="baseline"/>
          <w:rtl w:val="0"/>
        </w:rPr>
        <w:t xml:space="preserve"> Record a short explanation as well as a colour. This makes the judgement understandable and easier to review.</w:t>
      </w:r>
    </w:p>
    <w:p w:rsidR="00000000" w:rsidDel="00000000" w:rsidP="00000000" w:rsidRDefault="00000000" w:rsidRPr="00000000" w14:paraId="0000006A">
      <w:pPr>
        <w:pStyle w:val="Heading2"/>
        <w:rPr>
          <w:rFonts w:ascii="Cambria" w:cs="Cambria" w:eastAsia="Cambria" w:hAnsi="Cambria"/>
          <w:sz w:val="36"/>
          <w:szCs w:val="36"/>
        </w:rPr>
      </w:pPr>
      <w:r w:rsidDel="00000000" w:rsidR="00000000" w:rsidRPr="00000000">
        <w:rPr>
          <w:rFonts w:ascii="Cambria" w:cs="Cambria" w:eastAsia="Cambria" w:hAnsi="Cambria"/>
          <w:rtl w:val="0"/>
        </w:rPr>
        <w:t xml:space="preserve">Agreed recovery measures</w:t>
      </w:r>
      <w:r w:rsidDel="00000000" w:rsidR="00000000" w:rsidRPr="00000000">
        <w:rPr>
          <w:rtl w:val="0"/>
        </w:rPr>
      </w:r>
    </w:p>
    <w:tbl>
      <w:tblPr>
        <w:tblStyle w:val="Table5"/>
        <w:tblW w:w="10440.0" w:type="dxa"/>
        <w:jc w:val="left"/>
        <w:tblInd w:w="-108.0" w:type="dxa"/>
        <w:tblBorders>
          <w:top w:color="95b3d7" w:space="0" w:sz="4" w:val="single"/>
          <w:left w:color="95b3d7" w:space="0" w:sz="4" w:val="single"/>
          <w:bottom w:color="95b3d7" w:space="0" w:sz="4" w:val="single"/>
          <w:right w:color="95b3d7" w:space="0" w:sz="4" w:val="single"/>
          <w:insideH w:color="95b3d7" w:space="0" w:sz="4" w:val="single"/>
          <w:insideV w:color="95b3d7" w:space="0" w:sz="4" w:val="single"/>
        </w:tblBorders>
        <w:tblLayout w:type="fixed"/>
        <w:tblLook w:val="04A0"/>
      </w:tblPr>
      <w:tblGrid>
        <w:gridCol w:w="1592"/>
        <w:gridCol w:w="8848"/>
        <w:tblGridChange w:id="0">
          <w:tblGrid>
            <w:gridCol w:w="1592"/>
            <w:gridCol w:w="8848"/>
          </w:tblGrid>
        </w:tblGridChange>
      </w:tblGrid>
      <w:tr>
        <w:trPr>
          <w:cantSplit w:val="0"/>
          <w:tblHeader w:val="0"/>
        </w:trPr>
        <w:tc>
          <w:tcPr/>
          <w:p w:rsidR="00000000" w:rsidDel="00000000" w:rsidP="00000000" w:rsidRDefault="00000000" w:rsidRPr="00000000" w14:paraId="0000006B">
            <w:pPr>
              <w:rPr/>
            </w:pPr>
            <w:r w:rsidDel="00000000" w:rsidR="00000000" w:rsidRPr="00000000">
              <w:rPr>
                <w:rtl w:val="0"/>
              </w:rPr>
              <w:t xml:space="preserve">Recovery measure</w:t>
            </w:r>
          </w:p>
        </w:tc>
        <w:tc>
          <w:tcPr/>
          <w:p w:rsidR="00000000" w:rsidDel="00000000" w:rsidP="00000000" w:rsidRDefault="00000000" w:rsidRPr="00000000" w14:paraId="0000006C">
            <w:pPr>
              <w:rPr/>
            </w:pPr>
            <w:r w:rsidDel="00000000" w:rsidR="00000000" w:rsidRPr="00000000">
              <w:rPr>
                <w:rtl w:val="0"/>
              </w:rPr>
              <w:t xml:space="preserve">Agreed position</w:t>
            </w:r>
          </w:p>
        </w:tc>
      </w:tr>
      <w:tr>
        <w:trPr>
          <w:cantSplit w:val="0"/>
          <w:tblHeader w:val="0"/>
        </w:trPr>
        <w:tc>
          <w:tcPr/>
          <w:p w:rsidR="00000000" w:rsidDel="00000000" w:rsidP="00000000" w:rsidRDefault="00000000" w:rsidRPr="00000000" w14:paraId="0000006D">
            <w:pPr>
              <w:rPr/>
            </w:pPr>
            <w:r w:rsidDel="00000000" w:rsidR="00000000" w:rsidRPr="00000000">
              <w:rPr>
                <w:rtl w:val="0"/>
              </w:rPr>
              <w:t xml:space="preserve">MTPD</w:t>
            </w:r>
          </w:p>
        </w:tc>
        <w:tc>
          <w:tcPr/>
          <w:p w:rsidR="00000000" w:rsidDel="00000000" w:rsidP="00000000" w:rsidRDefault="00000000" w:rsidRPr="00000000" w14:paraId="0000006E">
            <w:pPr>
              <w:rPr/>
            </w:pPr>
            <w:r w:rsidDel="00000000" w:rsidR="00000000" w:rsidRPr="00000000">
              <w:rPr>
                <w:b w:val="1"/>
                <w:bCs w:val="1"/>
                <w:rtl w:val="0"/>
              </w:rPr>
              <w:t xml:space="preserve">24 hours.</w:t>
            </w:r>
            <w:r w:rsidDel="00000000" w:rsidR="00000000" w:rsidRPr="00000000">
              <w:rPr>
                <w:rtl w:val="0"/>
              </w:rPr>
              <w:t xml:space="preserve"> Beyond this point, missed meals and welfare concerns create unacceptable consequences.</w:t>
            </w:r>
          </w:p>
        </w:tc>
      </w:tr>
      <w:tr>
        <w:trPr>
          <w:cantSplit w:val="0"/>
          <w:tblHeader w:val="0"/>
        </w:trPr>
        <w:tc>
          <w:tcPr/>
          <w:p w:rsidR="00000000" w:rsidDel="00000000" w:rsidP="00000000" w:rsidRDefault="00000000" w:rsidRPr="00000000" w14:paraId="0000006F">
            <w:pPr>
              <w:rPr/>
            </w:pPr>
            <w:r w:rsidDel="00000000" w:rsidR="00000000" w:rsidRPr="00000000">
              <w:rPr>
                <w:rtl w:val="0"/>
              </w:rPr>
              <w:t xml:space="preserve">RTO</w:t>
            </w:r>
          </w:p>
        </w:tc>
        <w:tc>
          <w:tcPr/>
          <w:p w:rsidR="00000000" w:rsidDel="00000000" w:rsidP="00000000" w:rsidRDefault="00000000" w:rsidRPr="00000000" w14:paraId="00000070">
            <w:pPr>
              <w:rPr/>
            </w:pPr>
            <w:r w:rsidDel="00000000" w:rsidR="00000000" w:rsidRPr="00000000">
              <w:rPr>
                <w:b w:val="1"/>
                <w:bCs w:val="1"/>
                <w:rtl w:val="0"/>
              </w:rPr>
              <w:t xml:space="preserve">4 hours.</w:t>
            </w:r>
            <w:r w:rsidDel="00000000" w:rsidR="00000000" w:rsidRPr="00000000">
              <w:rPr>
                <w:rtl w:val="0"/>
              </w:rPr>
              <w:t xml:space="preserve"> Recovery must begin early enough to prepare or source same-day replacement meals.</w:t>
            </w:r>
          </w:p>
        </w:tc>
      </w:tr>
      <w:tr>
        <w:trPr>
          <w:cantSplit w:val="0"/>
          <w:tblHeader w:val="0"/>
        </w:trPr>
        <w:tc>
          <w:tcPr/>
          <w:p w:rsidR="00000000" w:rsidDel="00000000" w:rsidP="00000000" w:rsidRDefault="00000000" w:rsidRPr="00000000" w14:paraId="00000071">
            <w:pPr>
              <w:rPr/>
            </w:pPr>
            <w:r w:rsidDel="00000000" w:rsidR="00000000" w:rsidRPr="00000000">
              <w:rPr>
                <w:rtl w:val="0"/>
              </w:rPr>
              <w:t xml:space="preserve">Minimum service level</w:t>
            </w:r>
          </w:p>
        </w:tc>
        <w:tc>
          <w:tcPr/>
          <w:p w:rsidR="00000000" w:rsidDel="00000000" w:rsidP="00000000" w:rsidRDefault="00000000" w:rsidRPr="00000000" w14:paraId="00000072">
            <w:pPr>
              <w:rPr/>
            </w:pPr>
            <w:r w:rsidDel="00000000" w:rsidR="00000000" w:rsidRPr="00000000">
              <w:rPr>
                <w:rtl w:val="0"/>
              </w:rPr>
              <w:t xml:space="preserve">Provide one safe meal to every registered resident each weekday. A cold meal or suitable bought-in alternative is acceptable temporarily. Deliveries may run up to two hours late if customers and the commissioner are informed.</w:t>
            </w:r>
          </w:p>
        </w:tc>
      </w:tr>
      <w:tr>
        <w:trPr>
          <w:cantSplit w:val="0"/>
          <w:tblHeader w:val="0"/>
        </w:trPr>
        <w:tc>
          <w:tcPr/>
          <w:p w:rsidR="00000000" w:rsidDel="00000000" w:rsidP="00000000" w:rsidRDefault="00000000" w:rsidRPr="00000000" w14:paraId="00000073">
            <w:pPr>
              <w:rPr/>
            </w:pPr>
            <w:r w:rsidDel="00000000" w:rsidR="00000000" w:rsidRPr="00000000">
              <w:rPr>
                <w:rtl w:val="0"/>
              </w:rPr>
              <w:t xml:space="preserve">Reason for the decision</w:t>
            </w:r>
          </w:p>
        </w:tc>
        <w:tc>
          <w:tcPr/>
          <w:p w:rsidR="00000000" w:rsidDel="00000000" w:rsidP="00000000" w:rsidRDefault="00000000" w:rsidRPr="00000000" w14:paraId="00000074">
            <w:pPr>
              <w:rPr/>
            </w:pPr>
            <w:r w:rsidDel="00000000" w:rsidR="00000000" w:rsidRPr="00000000">
              <w:rPr>
                <w:rtl w:val="0"/>
              </w:rPr>
              <w:t xml:space="preserve">The service supports potentially vulnerable people and includes a welfare contact. A four-hour recovery target gives time to activate an alternative kitchen, supplier or delivery route before the normal lunchtime window is lost.</w:t>
            </w:r>
          </w:p>
        </w:tc>
      </w:tr>
    </w:tbl>
    <w:p w:rsidR="00000000" w:rsidDel="00000000" w:rsidP="00000000" w:rsidRDefault="00000000" w:rsidRPr="00000000" w14:paraId="00000075">
      <w:pPr>
        <w:spacing w:after="20" w:lineRule="auto"/>
        <w:rPr/>
      </w:pPr>
      <w:r w:rsidDel="00000000" w:rsidR="00000000" w:rsidRPr="00000000">
        <w:rPr>
          <w:rtl w:val="0"/>
        </w:rPr>
        <w:t xml:space="preserve">*MTPD - Maximum Tolerable Period of Disruption, RTO - Recovery Time Objective</w:t>
      </w:r>
    </w:p>
    <w:p w:rsidR="00000000" w:rsidDel="00000000" w:rsidP="00000000" w:rsidRDefault="00000000" w:rsidRPr="00000000" w14:paraId="00000076">
      <w:pPr>
        <w:spacing w:after="20" w:lineRule="auto"/>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ptos" w:cs="Aptos" w:eastAsia="Aptos" w:hAnsi="Aptos"/>
          <w:b w:val="0"/>
          <w:bCs w:val="0"/>
          <w:i w:val="0"/>
          <w:iCs w:val="0"/>
          <w:smallCaps w:val="0"/>
          <w:strike w:val="0"/>
          <w:color w:val="666666"/>
          <w:sz w:val="16"/>
          <w:szCs w:val="16"/>
          <w:u w:val="none"/>
          <w:shd w:fill="auto" w:val="clear"/>
          <w:vertAlign w:val="baseline"/>
        </w:rPr>
      </w:pPr>
      <w:r w:rsidDel="00000000" w:rsidR="00000000" w:rsidRPr="00000000">
        <w:rPr>
          <w:rFonts w:ascii="Aptos" w:cs="Aptos" w:eastAsia="Aptos" w:hAnsi="Aptos"/>
          <w:b w:val="1"/>
          <w:bCs w:val="1"/>
          <w:i w:val="0"/>
          <w:iCs w:val="0"/>
          <w:smallCaps w:val="0"/>
          <w:strike w:val="0"/>
          <w:color w:val="666666"/>
          <w:sz w:val="16"/>
          <w:szCs w:val="16"/>
          <w:u w:val="none"/>
          <w:shd w:fill="auto" w:val="clear"/>
          <w:vertAlign w:val="baseline"/>
          <w:rtl w:val="0"/>
        </w:rPr>
        <w:t xml:space="preserve">Plain-English reminder:</w:t>
      </w:r>
      <w:r w:rsidDel="00000000" w:rsidR="00000000" w:rsidRPr="00000000">
        <w:rPr>
          <w:rFonts w:ascii="Aptos" w:cs="Aptos" w:eastAsia="Aptos" w:hAnsi="Aptos"/>
          <w:b w:val="0"/>
          <w:bCs w:val="0"/>
          <w:i w:val="0"/>
          <w:iCs w:val="0"/>
          <w:smallCaps w:val="0"/>
          <w:strike w:val="0"/>
          <w:color w:val="666666"/>
          <w:sz w:val="16"/>
          <w:szCs w:val="16"/>
          <w:u w:val="none"/>
          <w:shd w:fill="auto" w:val="clear"/>
          <w:vertAlign w:val="baseline"/>
          <w:rtl w:val="0"/>
        </w:rPr>
        <w:t xml:space="preserve"> MTPD is the longest the organisation can tolerate disruption. RTO is the target time for restoring the activity and should normally be shorter than the MTPD.</w:t>
      </w:r>
    </w:p>
    <w:p w:rsidR="00000000" w:rsidDel="00000000" w:rsidP="00000000" w:rsidRDefault="00000000" w:rsidRPr="00000000" w14:paraId="00000078">
      <w:pPr>
        <w:pStyle w:val="Heading2"/>
        <w:rPr>
          <w:rFonts w:ascii="Cambria" w:cs="Cambria" w:eastAsia="Cambria" w:hAnsi="Cambria"/>
          <w:sz w:val="36"/>
          <w:szCs w:val="36"/>
        </w:rPr>
      </w:pPr>
      <w:r w:rsidDel="00000000" w:rsidR="00000000" w:rsidRPr="00000000">
        <w:rPr>
          <w:rFonts w:ascii="Cambria" w:cs="Cambria" w:eastAsia="Cambria" w:hAnsi="Cambria"/>
          <w:rtl w:val="0"/>
        </w:rPr>
        <w:t xml:space="preserve">Dependencies and workarounds</w:t>
      </w:r>
      <w:r w:rsidDel="00000000" w:rsidR="00000000" w:rsidRPr="00000000">
        <w:rPr>
          <w:rtl w:val="0"/>
        </w:rPr>
      </w:r>
    </w:p>
    <w:tbl>
      <w:tblPr>
        <w:tblStyle w:val="Table6"/>
        <w:tblW w:w="10440.0" w:type="dxa"/>
        <w:jc w:val="left"/>
        <w:tblInd w:w="-108.0" w:type="dxa"/>
        <w:tblBorders>
          <w:top w:color="95b3d7" w:space="0" w:sz="4" w:val="single"/>
          <w:left w:color="95b3d7" w:space="0" w:sz="4" w:val="single"/>
          <w:bottom w:color="95b3d7" w:space="0" w:sz="4" w:val="single"/>
          <w:right w:color="95b3d7" w:space="0" w:sz="4" w:val="single"/>
          <w:insideH w:color="95b3d7" w:space="0" w:sz="4" w:val="single"/>
          <w:insideV w:color="95b3d7" w:space="0" w:sz="4" w:val="single"/>
        </w:tblBorders>
        <w:tblLayout w:type="fixed"/>
        <w:tblLook w:val="04A0"/>
      </w:tblPr>
      <w:tblGrid>
        <w:gridCol w:w="2294"/>
        <w:gridCol w:w="2421"/>
        <w:gridCol w:w="2323"/>
        <w:gridCol w:w="3402"/>
        <w:tblGridChange w:id="0">
          <w:tblGrid>
            <w:gridCol w:w="2294"/>
            <w:gridCol w:w="2421"/>
            <w:gridCol w:w="2323"/>
            <w:gridCol w:w="3402"/>
          </w:tblGrid>
        </w:tblGridChange>
      </w:tblGrid>
      <w:tr>
        <w:trPr>
          <w:cantSplit w:val="0"/>
          <w:tblHeader w:val="0"/>
        </w:trPr>
        <w:tc>
          <w:tcPr/>
          <w:p w:rsidR="00000000" w:rsidDel="00000000" w:rsidP="00000000" w:rsidRDefault="00000000" w:rsidRPr="00000000" w14:paraId="00000079">
            <w:pPr>
              <w:rPr/>
            </w:pPr>
            <w:r w:rsidDel="00000000" w:rsidR="00000000" w:rsidRPr="00000000">
              <w:rPr>
                <w:rtl w:val="0"/>
              </w:rPr>
              <w:t xml:space="preserve">Dependency</w:t>
            </w:r>
          </w:p>
        </w:tc>
        <w:tc>
          <w:tcPr/>
          <w:p w:rsidR="00000000" w:rsidDel="00000000" w:rsidP="00000000" w:rsidRDefault="00000000" w:rsidRPr="00000000" w14:paraId="0000007A">
            <w:pPr>
              <w:rPr/>
            </w:pPr>
            <w:r w:rsidDel="00000000" w:rsidR="00000000" w:rsidRPr="00000000">
              <w:rPr>
                <w:rtl w:val="0"/>
              </w:rPr>
              <w:t xml:space="preserve">Minimum requirement</w:t>
            </w:r>
          </w:p>
        </w:tc>
        <w:tc>
          <w:tcPr/>
          <w:p w:rsidR="00000000" w:rsidDel="00000000" w:rsidP="00000000" w:rsidRDefault="00000000" w:rsidRPr="00000000" w14:paraId="0000007B">
            <w:pPr>
              <w:rPr/>
            </w:pPr>
            <w:r w:rsidDel="00000000" w:rsidR="00000000" w:rsidRPr="00000000">
              <w:rPr>
                <w:rtl w:val="0"/>
              </w:rPr>
              <w:t xml:space="preserve">Single point of failure?</w:t>
            </w:r>
          </w:p>
        </w:tc>
        <w:tc>
          <w:tcPr/>
          <w:p w:rsidR="00000000" w:rsidDel="00000000" w:rsidP="00000000" w:rsidRDefault="00000000" w:rsidRPr="00000000" w14:paraId="0000007C">
            <w:pPr>
              <w:rPr/>
            </w:pPr>
            <w:r w:rsidDel="00000000" w:rsidR="00000000" w:rsidRPr="00000000">
              <w:rPr>
                <w:rtl w:val="0"/>
              </w:rPr>
              <w:t xml:space="preserve">Fallback / workaround</w:t>
            </w:r>
          </w:p>
        </w:tc>
      </w:tr>
      <w:tr>
        <w:trPr>
          <w:cantSplit w:val="0"/>
          <w:tblHeader w:val="0"/>
        </w:trPr>
        <w:tc>
          <w:tcPr/>
          <w:p w:rsidR="00000000" w:rsidDel="00000000" w:rsidP="00000000" w:rsidRDefault="00000000" w:rsidRPr="00000000" w14:paraId="0000007D">
            <w:pPr>
              <w:rPr/>
            </w:pPr>
            <w:r w:rsidDel="00000000" w:rsidR="00000000" w:rsidRPr="00000000">
              <w:rPr>
                <w:rtl w:val="0"/>
              </w:rPr>
              <w:t xml:space="preserve">People and skills</w:t>
            </w:r>
          </w:p>
        </w:tc>
        <w:tc>
          <w:tcPr/>
          <w:p w:rsidR="00000000" w:rsidDel="00000000" w:rsidP="00000000" w:rsidRDefault="00000000" w:rsidRPr="00000000" w14:paraId="0000007E">
            <w:pPr>
              <w:rPr/>
            </w:pPr>
            <w:r w:rsidDel="00000000" w:rsidR="00000000" w:rsidRPr="00000000">
              <w:rPr>
                <w:rtl w:val="0"/>
              </w:rPr>
              <w:t xml:space="preserve">One food-safety-trained cook, one assistant and one driver</w:t>
            </w:r>
          </w:p>
        </w:tc>
        <w:tc>
          <w:tcPr/>
          <w:p w:rsidR="00000000" w:rsidDel="00000000" w:rsidP="00000000" w:rsidRDefault="00000000" w:rsidRPr="00000000" w14:paraId="0000007F">
            <w:pPr>
              <w:rPr/>
            </w:pPr>
            <w:r w:rsidDel="00000000" w:rsidR="00000000" w:rsidRPr="00000000">
              <w:rPr>
                <w:rtl w:val="0"/>
              </w:rPr>
              <w:t xml:space="preserve">Yes – only the Head Chef currently knows all special dietary requirements</w:t>
            </w:r>
          </w:p>
        </w:tc>
        <w:tc>
          <w:tcPr/>
          <w:p w:rsidR="00000000" w:rsidDel="00000000" w:rsidP="00000000" w:rsidRDefault="00000000" w:rsidRPr="00000000" w14:paraId="00000080">
            <w:pPr>
              <w:rPr/>
            </w:pPr>
            <w:r w:rsidDel="00000000" w:rsidR="00000000" w:rsidRPr="00000000">
              <w:rPr>
                <w:rtl w:val="0"/>
              </w:rPr>
              <w:t xml:space="preserve">Cross-train the deputy; keep an authorised dietary summary accessible to named staff.</w:t>
            </w:r>
          </w:p>
        </w:tc>
      </w:tr>
      <w:tr>
        <w:trPr>
          <w:cantSplit w:val="0"/>
          <w:tblHeader w:val="0"/>
        </w:trPr>
        <w:tc>
          <w:tcPr/>
          <w:p w:rsidR="00000000" w:rsidDel="00000000" w:rsidP="00000000" w:rsidRDefault="00000000" w:rsidRPr="00000000" w14:paraId="00000081">
            <w:pPr>
              <w:rPr/>
            </w:pPr>
            <w:r w:rsidDel="00000000" w:rsidR="00000000" w:rsidRPr="00000000">
              <w:rPr>
                <w:rtl w:val="0"/>
              </w:rPr>
              <w:t xml:space="preserve">Premises</w:t>
            </w:r>
          </w:p>
        </w:tc>
        <w:tc>
          <w:tcPr/>
          <w:p w:rsidR="00000000" w:rsidDel="00000000" w:rsidP="00000000" w:rsidRDefault="00000000" w:rsidRPr="00000000" w14:paraId="00000082">
            <w:pPr>
              <w:rPr/>
            </w:pPr>
            <w:r w:rsidDel="00000000" w:rsidR="00000000" w:rsidRPr="00000000">
              <w:rPr>
                <w:rtl w:val="0"/>
              </w:rPr>
              <w:t xml:space="preserve">A food-safe preparation area with refrigeration, hot water and handwashing</w:t>
            </w:r>
          </w:p>
        </w:tc>
        <w:tc>
          <w:tcPr/>
          <w:p w:rsidR="00000000" w:rsidDel="00000000" w:rsidP="00000000" w:rsidRDefault="00000000" w:rsidRPr="00000000" w14:paraId="00000083">
            <w:pPr>
              <w:rPr/>
            </w:pPr>
            <w:r w:rsidDel="00000000" w:rsidR="00000000" w:rsidRPr="00000000">
              <w:rPr>
                <w:rtl w:val="0"/>
              </w:rPr>
              <w:t xml:space="preserve">Yes – one kitchen</w:t>
            </w:r>
          </w:p>
        </w:tc>
        <w:tc>
          <w:tcPr/>
          <w:p w:rsidR="00000000" w:rsidDel="00000000" w:rsidP="00000000" w:rsidRDefault="00000000" w:rsidRPr="00000000" w14:paraId="00000084">
            <w:pPr>
              <w:rPr/>
            </w:pPr>
            <w:r w:rsidDel="00000000" w:rsidR="00000000" w:rsidRPr="00000000">
              <w:rPr>
                <w:rtl w:val="0"/>
              </w:rPr>
              <w:t xml:space="preserve">Use the agreed kitchen at a nearby community centre, subject to a current written agreement and safety checks.</w:t>
            </w:r>
          </w:p>
        </w:tc>
      </w:tr>
      <w:tr>
        <w:trPr>
          <w:cantSplit w:val="0"/>
          <w:tblHeader w:val="0"/>
        </w:trPr>
        <w:tc>
          <w:tcPr/>
          <w:p w:rsidR="00000000" w:rsidDel="00000000" w:rsidP="00000000" w:rsidRDefault="00000000" w:rsidRPr="00000000" w14:paraId="00000085">
            <w:pPr>
              <w:rPr/>
            </w:pPr>
            <w:r w:rsidDel="00000000" w:rsidR="00000000" w:rsidRPr="00000000">
              <w:rPr>
                <w:rtl w:val="0"/>
              </w:rPr>
              <w:t xml:space="preserve">IT and telecommunications</w:t>
            </w:r>
          </w:p>
        </w:tc>
        <w:tc>
          <w:tcPr/>
          <w:p w:rsidR="00000000" w:rsidDel="00000000" w:rsidP="00000000" w:rsidRDefault="00000000" w:rsidRPr="00000000" w14:paraId="00000086">
            <w:pPr>
              <w:rPr/>
            </w:pPr>
            <w:r w:rsidDel="00000000" w:rsidR="00000000" w:rsidRPr="00000000">
              <w:rPr>
                <w:rtl w:val="0"/>
              </w:rPr>
              <w:t xml:space="preserve">Access to orders, dietary information and telephone contact details</w:t>
            </w:r>
          </w:p>
        </w:tc>
        <w:tc>
          <w:tcPr/>
          <w:p w:rsidR="00000000" w:rsidDel="00000000" w:rsidP="00000000" w:rsidRDefault="00000000" w:rsidRPr="00000000" w14:paraId="00000087">
            <w:pPr>
              <w:rPr/>
            </w:pPr>
            <w:r w:rsidDel="00000000" w:rsidR="00000000" w:rsidRPr="00000000">
              <w:rPr>
                <w:rtl w:val="0"/>
              </w:rPr>
              <w:t xml:space="preserve">No</w:t>
            </w:r>
          </w:p>
        </w:tc>
        <w:tc>
          <w:tcPr/>
          <w:p w:rsidR="00000000" w:rsidDel="00000000" w:rsidP="00000000" w:rsidRDefault="00000000" w:rsidRPr="00000000" w14:paraId="00000088">
            <w:pPr>
              <w:rPr/>
            </w:pPr>
            <w:r w:rsidDel="00000000" w:rsidR="00000000" w:rsidRPr="00000000">
              <w:rPr>
                <w:rtl w:val="0"/>
              </w:rPr>
              <w:t xml:space="preserve">Use charged work mobiles and an encrypted offline copy of the essential delivery list.</w:t>
            </w:r>
          </w:p>
        </w:tc>
      </w:tr>
      <w:tr>
        <w:trPr>
          <w:cantSplit w:val="0"/>
          <w:tblHeader w:val="0"/>
        </w:trPr>
        <w:tc>
          <w:tcPr/>
          <w:p w:rsidR="00000000" w:rsidDel="00000000" w:rsidP="00000000" w:rsidRDefault="00000000" w:rsidRPr="00000000" w14:paraId="00000089">
            <w:pPr>
              <w:rPr/>
            </w:pPr>
            <w:r w:rsidDel="00000000" w:rsidR="00000000" w:rsidRPr="00000000">
              <w:rPr>
                <w:rtl w:val="0"/>
              </w:rPr>
              <w:t xml:space="preserve">Data and records</w:t>
            </w:r>
          </w:p>
        </w:tc>
        <w:tc>
          <w:tcPr/>
          <w:p w:rsidR="00000000" w:rsidDel="00000000" w:rsidP="00000000" w:rsidRDefault="00000000" w:rsidRPr="00000000" w14:paraId="0000008A">
            <w:pPr>
              <w:rPr/>
            </w:pPr>
            <w:r w:rsidDel="00000000" w:rsidR="00000000" w:rsidRPr="00000000">
              <w:rPr>
                <w:rtl w:val="0"/>
              </w:rPr>
              <w:t xml:space="preserve">Current customer, allergen, route and emergency contact information</w:t>
            </w:r>
          </w:p>
        </w:tc>
        <w:tc>
          <w:tcPr/>
          <w:p w:rsidR="00000000" w:rsidDel="00000000" w:rsidP="00000000" w:rsidRDefault="00000000" w:rsidRPr="00000000" w14:paraId="0000008B">
            <w:pPr>
              <w:rPr/>
            </w:pPr>
            <w:r w:rsidDel="00000000" w:rsidR="00000000" w:rsidRPr="00000000">
              <w:rPr>
                <w:rtl w:val="0"/>
              </w:rPr>
              <w:t xml:space="preserve">Yes – records are mainly held in one cloud system</w:t>
            </w:r>
          </w:p>
        </w:tc>
        <w:tc>
          <w:tcPr/>
          <w:p w:rsidR="00000000" w:rsidDel="00000000" w:rsidP="00000000" w:rsidRDefault="00000000" w:rsidRPr="00000000" w14:paraId="0000008C">
            <w:pPr>
              <w:rPr/>
            </w:pPr>
            <w:r w:rsidDel="00000000" w:rsidR="00000000" w:rsidRPr="00000000">
              <w:rPr>
                <w:rtl w:val="0"/>
              </w:rPr>
              <w:t xml:space="preserve">Create a controlled weekly offline export; store securely and destroy superseded copies.</w:t>
            </w:r>
          </w:p>
        </w:tc>
      </w:tr>
      <w:tr>
        <w:trPr>
          <w:cantSplit w:val="0"/>
          <w:tblHeader w:val="0"/>
        </w:trPr>
        <w:tc>
          <w:tcPr/>
          <w:p w:rsidR="00000000" w:rsidDel="00000000" w:rsidP="00000000" w:rsidRDefault="00000000" w:rsidRPr="00000000" w14:paraId="0000008D">
            <w:pPr>
              <w:rPr/>
            </w:pPr>
            <w:r w:rsidDel="00000000" w:rsidR="00000000" w:rsidRPr="00000000">
              <w:rPr>
                <w:rtl w:val="0"/>
              </w:rPr>
              <w:t xml:space="preserve">Suppliers / outsourced services</w:t>
            </w:r>
          </w:p>
        </w:tc>
        <w:tc>
          <w:tcPr/>
          <w:p w:rsidR="00000000" w:rsidDel="00000000" w:rsidP="00000000" w:rsidRDefault="00000000" w:rsidRPr="00000000" w14:paraId="0000008E">
            <w:pPr>
              <w:rPr/>
            </w:pPr>
            <w:r w:rsidDel="00000000" w:rsidR="00000000" w:rsidRPr="00000000">
              <w:rPr>
                <w:rtl w:val="0"/>
              </w:rPr>
              <w:t xml:space="preserve">Core food ingredients, packaging and a replacement meal option</w:t>
            </w:r>
          </w:p>
        </w:tc>
        <w:tc>
          <w:tcPr/>
          <w:p w:rsidR="00000000" w:rsidDel="00000000" w:rsidP="00000000" w:rsidRDefault="00000000" w:rsidRPr="00000000" w14:paraId="0000008F">
            <w:pPr>
              <w:rPr/>
            </w:pPr>
            <w:r w:rsidDel="00000000" w:rsidR="00000000" w:rsidRPr="00000000">
              <w:rPr>
                <w:rtl w:val="0"/>
              </w:rPr>
              <w:t xml:space="preserve">Yes – one main food wholesaler</w:t>
            </w:r>
          </w:p>
        </w:tc>
        <w:tc>
          <w:tcPr/>
          <w:p w:rsidR="00000000" w:rsidDel="00000000" w:rsidP="00000000" w:rsidRDefault="00000000" w:rsidRPr="00000000" w14:paraId="00000090">
            <w:pPr>
              <w:rPr/>
            </w:pPr>
            <w:r w:rsidDel="00000000" w:rsidR="00000000" w:rsidRPr="00000000">
              <w:rPr>
                <w:rtl w:val="0"/>
              </w:rPr>
              <w:t xml:space="preserve">Maintain accounts with a second wholesaler and a local supermarket; agree a simple emergency ordering process.</w:t>
            </w:r>
          </w:p>
        </w:tc>
      </w:tr>
      <w:tr>
        <w:trPr>
          <w:cantSplit w:val="0"/>
          <w:tblHeader w:val="0"/>
        </w:trPr>
        <w:tc>
          <w:tcPr/>
          <w:p w:rsidR="00000000" w:rsidDel="00000000" w:rsidP="00000000" w:rsidRDefault="00000000" w:rsidRPr="00000000" w14:paraId="00000091">
            <w:pPr>
              <w:rPr/>
            </w:pPr>
            <w:r w:rsidDel="00000000" w:rsidR="00000000" w:rsidRPr="00000000">
              <w:rPr>
                <w:rtl w:val="0"/>
              </w:rPr>
              <w:t xml:space="preserve">Utilities / fuel</w:t>
            </w:r>
          </w:p>
        </w:tc>
        <w:tc>
          <w:tcPr/>
          <w:p w:rsidR="00000000" w:rsidDel="00000000" w:rsidP="00000000" w:rsidRDefault="00000000" w:rsidRPr="00000000" w14:paraId="00000092">
            <w:pPr>
              <w:rPr/>
            </w:pPr>
            <w:r w:rsidDel="00000000" w:rsidR="00000000" w:rsidRPr="00000000">
              <w:rPr>
                <w:rtl w:val="0"/>
              </w:rPr>
              <w:t xml:space="preserve">Electricity, water and fuel for delivery</w:t>
            </w:r>
          </w:p>
        </w:tc>
        <w:tc>
          <w:tcPr/>
          <w:p w:rsidR="00000000" w:rsidDel="00000000" w:rsidP="00000000" w:rsidRDefault="00000000" w:rsidRPr="00000000" w14:paraId="00000093">
            <w:pPr>
              <w:rPr/>
            </w:pPr>
            <w:r w:rsidDel="00000000" w:rsidR="00000000" w:rsidRPr="00000000">
              <w:rPr>
                <w:rtl w:val="0"/>
              </w:rPr>
              <w:t xml:space="preserve">Yes</w:t>
            </w:r>
          </w:p>
        </w:tc>
        <w:tc>
          <w:tcPr/>
          <w:p w:rsidR="00000000" w:rsidDel="00000000" w:rsidP="00000000" w:rsidRDefault="00000000" w:rsidRPr="00000000" w14:paraId="00000094">
            <w:pPr>
              <w:rPr/>
            </w:pPr>
            <w:r w:rsidDel="00000000" w:rsidR="00000000" w:rsidRPr="00000000">
              <w:rPr>
                <w:rtl w:val="0"/>
              </w:rPr>
              <w:t xml:space="preserve">Move preparation to the alternative kitchen; use insulated boxes and reimburse approved staff mileage if the delivery vehicle is unavailable.</w:t>
            </w:r>
          </w:p>
        </w:tc>
      </w:tr>
      <w:tr>
        <w:trPr>
          <w:cantSplit w:val="0"/>
          <w:tblHeader w:val="0"/>
        </w:trPr>
        <w:tc>
          <w:tcPr/>
          <w:p w:rsidR="00000000" w:rsidDel="00000000" w:rsidP="00000000" w:rsidRDefault="00000000" w:rsidRPr="00000000" w14:paraId="00000095">
            <w:pPr>
              <w:rPr/>
            </w:pPr>
            <w:r w:rsidDel="00000000" w:rsidR="00000000" w:rsidRPr="00000000">
              <w:rPr>
                <w:rtl w:val="0"/>
              </w:rPr>
              <w:t xml:space="preserve">Equipment / vehicles</w:t>
            </w:r>
          </w:p>
        </w:tc>
        <w:tc>
          <w:tcPr/>
          <w:p w:rsidR="00000000" w:rsidDel="00000000" w:rsidP="00000000" w:rsidRDefault="00000000" w:rsidRPr="00000000" w14:paraId="00000096">
            <w:pPr>
              <w:rPr/>
            </w:pPr>
            <w:r w:rsidDel="00000000" w:rsidR="00000000" w:rsidRPr="00000000">
              <w:rPr>
                <w:rtl w:val="0"/>
              </w:rPr>
              <w:t xml:space="preserve">Oven, refrigeration, temperature probe, insulated boxes and one delivery vehicle</w:t>
            </w:r>
          </w:p>
        </w:tc>
        <w:tc>
          <w:tcPr/>
          <w:p w:rsidR="00000000" w:rsidDel="00000000" w:rsidP="00000000" w:rsidRDefault="00000000" w:rsidRPr="00000000" w14:paraId="00000097">
            <w:pPr>
              <w:rPr/>
            </w:pPr>
            <w:r w:rsidDel="00000000" w:rsidR="00000000" w:rsidRPr="00000000">
              <w:rPr>
                <w:rtl w:val="0"/>
              </w:rPr>
              <w:t xml:space="preserve">Yes – one delivery vehicle</w:t>
            </w:r>
          </w:p>
        </w:tc>
        <w:tc>
          <w:tcPr/>
          <w:p w:rsidR="00000000" w:rsidDel="00000000" w:rsidP="00000000" w:rsidRDefault="00000000" w:rsidRPr="00000000" w14:paraId="00000098">
            <w:pPr>
              <w:rPr/>
            </w:pPr>
            <w:r w:rsidDel="00000000" w:rsidR="00000000" w:rsidRPr="00000000">
              <w:rPr>
                <w:rtl w:val="0"/>
              </w:rPr>
              <w:t xml:space="preserve">Use approved staff vehicles or a local courier able to meet food-handling requirements.</w:t>
            </w:r>
          </w:p>
        </w:tc>
      </w:tr>
      <w:tr>
        <w:trPr>
          <w:cantSplit w:val="0"/>
          <w:tblHeader w:val="0"/>
        </w:trPr>
        <w:tc>
          <w:tcPr/>
          <w:p w:rsidR="00000000" w:rsidDel="00000000" w:rsidP="00000000" w:rsidRDefault="00000000" w:rsidRPr="00000000" w14:paraId="00000099">
            <w:pPr>
              <w:rPr/>
            </w:pPr>
            <w:r w:rsidDel="00000000" w:rsidR="00000000" w:rsidRPr="00000000">
              <w:rPr>
                <w:rtl w:val="0"/>
              </w:rPr>
              <w:t xml:space="preserve">Finance / insurance</w:t>
            </w:r>
          </w:p>
        </w:tc>
        <w:tc>
          <w:tcPr/>
          <w:p w:rsidR="00000000" w:rsidDel="00000000" w:rsidP="00000000" w:rsidRDefault="00000000" w:rsidRPr="00000000" w14:paraId="0000009A">
            <w:pPr>
              <w:rPr/>
            </w:pPr>
            <w:r w:rsidDel="00000000" w:rsidR="00000000" w:rsidRPr="00000000">
              <w:rPr>
                <w:rtl w:val="0"/>
              </w:rPr>
              <w:t xml:space="preserve">Ability to make emergency purchases up to £1,000</w:t>
            </w:r>
          </w:p>
        </w:tc>
        <w:tc>
          <w:tcPr/>
          <w:p w:rsidR="00000000" w:rsidDel="00000000" w:rsidP="00000000" w:rsidRDefault="00000000" w:rsidRPr="00000000" w14:paraId="0000009B">
            <w:pPr>
              <w:rPr/>
            </w:pPr>
            <w:r w:rsidDel="00000000" w:rsidR="00000000" w:rsidRPr="00000000">
              <w:rPr>
                <w:rtl w:val="0"/>
              </w:rPr>
              <w:t xml:space="preserve">Yes – only the Managing Director holds the company card</w:t>
            </w:r>
          </w:p>
        </w:tc>
        <w:tc>
          <w:tcPr/>
          <w:p w:rsidR="00000000" w:rsidDel="00000000" w:rsidP="00000000" w:rsidRDefault="00000000" w:rsidRPr="00000000" w14:paraId="0000009C">
            <w:pPr>
              <w:rPr/>
            </w:pPr>
            <w:r w:rsidDel="00000000" w:rsidR="00000000" w:rsidRPr="00000000">
              <w:rPr>
                <w:rtl w:val="0"/>
              </w:rPr>
              <w:t xml:space="preserve">Issue a second controlled card to the Business Manager and confirm insurance cover for temporary premises and deliveries.</w:t>
            </w:r>
          </w:p>
        </w:tc>
      </w:tr>
    </w:tbl>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pStyle w:val="Heading1"/>
        <w:rPr/>
      </w:pPr>
      <w:r w:rsidDel="00000000" w:rsidR="00000000" w:rsidRPr="00000000">
        <w:rPr>
          <w:rtl w:val="0"/>
        </w:rPr>
        <w:t xml:space="preserve">Completed improvement actions</w:t>
      </w:r>
    </w:p>
    <w:tbl>
      <w:tblPr>
        <w:tblStyle w:val="Table7"/>
        <w:tblW w:w="10440.0" w:type="dxa"/>
        <w:jc w:val="left"/>
        <w:tblInd w:w="-108.0" w:type="dxa"/>
        <w:tblBorders>
          <w:top w:color="95b3d7" w:space="0" w:sz="4" w:val="single"/>
          <w:left w:color="95b3d7" w:space="0" w:sz="4" w:val="single"/>
          <w:bottom w:color="95b3d7" w:space="0" w:sz="4" w:val="single"/>
          <w:right w:color="95b3d7" w:space="0" w:sz="4" w:val="single"/>
          <w:insideH w:color="95b3d7" w:space="0" w:sz="4" w:val="single"/>
          <w:insideV w:color="95b3d7" w:space="0" w:sz="4" w:val="single"/>
        </w:tblBorders>
        <w:tblLayout w:type="fixed"/>
        <w:tblLook w:val="04A0"/>
      </w:tblPr>
      <w:tblGrid>
        <w:gridCol w:w="3380"/>
        <w:gridCol w:w="877"/>
        <w:gridCol w:w="1351"/>
        <w:gridCol w:w="1407"/>
        <w:gridCol w:w="3425"/>
        <w:tblGridChange w:id="0">
          <w:tblGrid>
            <w:gridCol w:w="3380"/>
            <w:gridCol w:w="877"/>
            <w:gridCol w:w="1351"/>
            <w:gridCol w:w="1407"/>
            <w:gridCol w:w="3425"/>
          </w:tblGrid>
        </w:tblGridChange>
      </w:tblGrid>
      <w:tr>
        <w:trPr>
          <w:cantSplit w:val="0"/>
          <w:tblHeader w:val="0"/>
        </w:trPr>
        <w:tc>
          <w:tcPr/>
          <w:p w:rsidR="00000000" w:rsidDel="00000000" w:rsidP="00000000" w:rsidRDefault="00000000" w:rsidRPr="00000000" w14:paraId="0000009F">
            <w:pPr>
              <w:rPr/>
            </w:pPr>
            <w:r w:rsidDel="00000000" w:rsidR="00000000" w:rsidRPr="00000000">
              <w:rPr>
                <w:rtl w:val="0"/>
              </w:rPr>
              <w:t xml:space="preserve">Action</w:t>
            </w:r>
          </w:p>
        </w:tc>
        <w:tc>
          <w:tcPr/>
          <w:p w:rsidR="00000000" w:rsidDel="00000000" w:rsidP="00000000" w:rsidRDefault="00000000" w:rsidRPr="00000000" w14:paraId="000000A0">
            <w:pPr>
              <w:rPr/>
            </w:pPr>
            <w:r w:rsidDel="00000000" w:rsidR="00000000" w:rsidRPr="00000000">
              <w:rPr>
                <w:rtl w:val="0"/>
              </w:rPr>
              <w:t xml:space="preserve">Priority</w:t>
            </w:r>
          </w:p>
        </w:tc>
        <w:tc>
          <w:tcPr/>
          <w:p w:rsidR="00000000" w:rsidDel="00000000" w:rsidP="00000000" w:rsidRDefault="00000000" w:rsidRPr="00000000" w14:paraId="000000A1">
            <w:pPr>
              <w:rPr/>
            </w:pPr>
            <w:r w:rsidDel="00000000" w:rsidR="00000000" w:rsidRPr="00000000">
              <w:rPr>
                <w:rtl w:val="0"/>
              </w:rPr>
              <w:t xml:space="preserve">Owner</w:t>
            </w:r>
          </w:p>
        </w:tc>
        <w:tc>
          <w:tcPr/>
          <w:p w:rsidR="00000000" w:rsidDel="00000000" w:rsidP="00000000" w:rsidRDefault="00000000" w:rsidRPr="00000000" w14:paraId="000000A2">
            <w:pPr>
              <w:rPr/>
            </w:pPr>
            <w:r w:rsidDel="00000000" w:rsidR="00000000" w:rsidRPr="00000000">
              <w:rPr>
                <w:rtl w:val="0"/>
              </w:rPr>
              <w:t xml:space="preserve">Target date</w:t>
            </w:r>
          </w:p>
        </w:tc>
        <w:tc>
          <w:tcPr/>
          <w:p w:rsidR="00000000" w:rsidDel="00000000" w:rsidP="00000000" w:rsidRDefault="00000000" w:rsidRPr="00000000" w14:paraId="000000A3">
            <w:pPr>
              <w:rPr/>
            </w:pPr>
            <w:r w:rsidDel="00000000" w:rsidR="00000000" w:rsidRPr="00000000">
              <w:rPr>
                <w:rtl w:val="0"/>
              </w:rPr>
              <w:t xml:space="preserve">Status / evidence</w:t>
            </w:r>
          </w:p>
        </w:tc>
      </w:tr>
      <w:tr>
        <w:trPr>
          <w:cantSplit w:val="0"/>
          <w:tblHeader w:val="0"/>
        </w:trPr>
        <w:tc>
          <w:tcPr/>
          <w:p w:rsidR="00000000" w:rsidDel="00000000" w:rsidP="00000000" w:rsidRDefault="00000000" w:rsidRPr="00000000" w14:paraId="000000A4">
            <w:pPr>
              <w:rPr/>
            </w:pPr>
            <w:r w:rsidDel="00000000" w:rsidR="00000000" w:rsidRPr="00000000">
              <w:rPr>
                <w:rtl w:val="0"/>
              </w:rPr>
              <w:t xml:space="preserve">Cross-train the deputy chef on dietary and allergen controls.</w:t>
            </w:r>
          </w:p>
        </w:tc>
        <w:tc>
          <w:tcPr/>
          <w:p w:rsidR="00000000" w:rsidDel="00000000" w:rsidP="00000000" w:rsidRDefault="00000000" w:rsidRPr="00000000" w14:paraId="000000A5">
            <w:pPr>
              <w:rPr/>
            </w:pPr>
            <w:r w:rsidDel="00000000" w:rsidR="00000000" w:rsidRPr="00000000">
              <w:rPr>
                <w:rtl w:val="0"/>
              </w:rPr>
              <w:t xml:space="preserve">Now</w:t>
            </w:r>
          </w:p>
        </w:tc>
        <w:tc>
          <w:tcPr/>
          <w:p w:rsidR="00000000" w:rsidDel="00000000" w:rsidP="00000000" w:rsidRDefault="00000000" w:rsidRPr="00000000" w14:paraId="000000A6">
            <w:pPr>
              <w:rPr/>
            </w:pPr>
            <w:r w:rsidDel="00000000" w:rsidR="00000000" w:rsidRPr="00000000">
              <w:rPr>
                <w:rtl w:val="0"/>
              </w:rPr>
              <w:t xml:space="preserve">Head Chef</w:t>
            </w:r>
          </w:p>
        </w:tc>
        <w:tc>
          <w:tcPr/>
          <w:p w:rsidR="00000000" w:rsidDel="00000000" w:rsidP="00000000" w:rsidRDefault="00000000" w:rsidRPr="00000000" w14:paraId="000000A7">
            <w:pPr>
              <w:rPr/>
            </w:pPr>
            <w:r w:rsidDel="00000000" w:rsidR="00000000" w:rsidRPr="00000000">
              <w:rPr>
                <w:rtl w:val="0"/>
              </w:rPr>
              <w:t xml:space="preserve">30 September 2026</w:t>
            </w:r>
          </w:p>
        </w:tc>
        <w:tc>
          <w:tcPr/>
          <w:p w:rsidR="00000000" w:rsidDel="00000000" w:rsidP="00000000" w:rsidRDefault="00000000" w:rsidRPr="00000000" w14:paraId="000000A8">
            <w:pPr>
              <w:rPr/>
            </w:pPr>
            <w:r w:rsidDel="00000000" w:rsidR="00000000" w:rsidRPr="00000000">
              <w:rPr>
                <w:rtl w:val="0"/>
              </w:rPr>
              <w:t xml:space="preserve">Training booked; competency check to be recorded.</w:t>
            </w:r>
          </w:p>
        </w:tc>
      </w:tr>
      <w:tr>
        <w:trPr>
          <w:cantSplit w:val="0"/>
          <w:tblHeader w:val="0"/>
        </w:trPr>
        <w:tc>
          <w:tcPr/>
          <w:p w:rsidR="00000000" w:rsidDel="00000000" w:rsidP="00000000" w:rsidRDefault="00000000" w:rsidRPr="00000000" w14:paraId="000000A9">
            <w:pPr>
              <w:rPr/>
            </w:pPr>
            <w:r w:rsidDel="00000000" w:rsidR="00000000" w:rsidRPr="00000000">
              <w:rPr>
                <w:rtl w:val="0"/>
              </w:rPr>
              <w:t xml:space="preserve">Complete a written agreement for use of the community centre kitchen.</w:t>
            </w:r>
          </w:p>
        </w:tc>
        <w:tc>
          <w:tcPr/>
          <w:p w:rsidR="00000000" w:rsidDel="00000000" w:rsidP="00000000" w:rsidRDefault="00000000" w:rsidRPr="00000000" w14:paraId="000000AA">
            <w:pPr>
              <w:rPr/>
            </w:pPr>
            <w:r w:rsidDel="00000000" w:rsidR="00000000" w:rsidRPr="00000000">
              <w:rPr>
                <w:rtl w:val="0"/>
              </w:rPr>
              <w:t xml:space="preserve">Now</w:t>
            </w:r>
          </w:p>
        </w:tc>
        <w:tc>
          <w:tcPr/>
          <w:p w:rsidR="00000000" w:rsidDel="00000000" w:rsidP="00000000" w:rsidRDefault="00000000" w:rsidRPr="00000000" w14:paraId="000000AB">
            <w:pPr>
              <w:rPr/>
            </w:pPr>
            <w:r w:rsidDel="00000000" w:rsidR="00000000" w:rsidRPr="00000000">
              <w:rPr>
                <w:rtl w:val="0"/>
              </w:rPr>
              <w:t xml:space="preserve">Business Manager</w:t>
            </w:r>
          </w:p>
        </w:tc>
        <w:tc>
          <w:tcPr/>
          <w:p w:rsidR="00000000" w:rsidDel="00000000" w:rsidP="00000000" w:rsidRDefault="00000000" w:rsidRPr="00000000" w14:paraId="000000AC">
            <w:pPr>
              <w:rPr/>
            </w:pPr>
            <w:r w:rsidDel="00000000" w:rsidR="00000000" w:rsidRPr="00000000">
              <w:rPr>
                <w:rtl w:val="0"/>
              </w:rPr>
              <w:t xml:space="preserve">15 October 2026</w:t>
            </w:r>
          </w:p>
        </w:tc>
        <w:tc>
          <w:tcPr/>
          <w:p w:rsidR="00000000" w:rsidDel="00000000" w:rsidP="00000000" w:rsidRDefault="00000000" w:rsidRPr="00000000" w14:paraId="000000AD">
            <w:pPr>
              <w:rPr/>
            </w:pPr>
            <w:r w:rsidDel="00000000" w:rsidR="00000000" w:rsidRPr="00000000">
              <w:rPr>
                <w:rtl w:val="0"/>
              </w:rPr>
              <w:t xml:space="preserve">Draft agreement sent for review.</w:t>
            </w:r>
          </w:p>
        </w:tc>
      </w:tr>
      <w:tr>
        <w:trPr>
          <w:cantSplit w:val="0"/>
          <w:tblHeader w:val="0"/>
        </w:trPr>
        <w:tc>
          <w:tcPr/>
          <w:p w:rsidR="00000000" w:rsidDel="00000000" w:rsidP="00000000" w:rsidRDefault="00000000" w:rsidRPr="00000000" w14:paraId="000000AE">
            <w:pPr>
              <w:rPr/>
            </w:pPr>
            <w:r w:rsidDel="00000000" w:rsidR="00000000" w:rsidRPr="00000000">
              <w:rPr>
                <w:rtl w:val="0"/>
              </w:rPr>
              <w:t xml:space="preserve">Set up a second food supplier account.</w:t>
            </w:r>
          </w:p>
        </w:tc>
        <w:tc>
          <w:tcPr/>
          <w:p w:rsidR="00000000" w:rsidDel="00000000" w:rsidP="00000000" w:rsidRDefault="00000000" w:rsidRPr="00000000" w14:paraId="000000AF">
            <w:pPr>
              <w:rPr/>
            </w:pPr>
            <w:r w:rsidDel="00000000" w:rsidR="00000000" w:rsidRPr="00000000">
              <w:rPr>
                <w:rtl w:val="0"/>
              </w:rPr>
              <w:t xml:space="preserve">Next</w:t>
            </w:r>
          </w:p>
        </w:tc>
        <w:tc>
          <w:tcPr/>
          <w:p w:rsidR="00000000" w:rsidDel="00000000" w:rsidP="00000000" w:rsidRDefault="00000000" w:rsidRPr="00000000" w14:paraId="000000B0">
            <w:pPr>
              <w:rPr/>
            </w:pPr>
            <w:r w:rsidDel="00000000" w:rsidR="00000000" w:rsidRPr="00000000">
              <w:rPr>
                <w:rtl w:val="0"/>
              </w:rPr>
              <w:t xml:space="preserve">Finance Lead</w:t>
            </w:r>
          </w:p>
        </w:tc>
        <w:tc>
          <w:tcPr/>
          <w:p w:rsidR="00000000" w:rsidDel="00000000" w:rsidP="00000000" w:rsidRDefault="00000000" w:rsidRPr="00000000" w14:paraId="000000B1">
            <w:pPr>
              <w:rPr/>
            </w:pPr>
            <w:r w:rsidDel="00000000" w:rsidR="00000000" w:rsidRPr="00000000">
              <w:rPr>
                <w:rtl w:val="0"/>
              </w:rPr>
              <w:t xml:space="preserve">31 October 2026</w:t>
            </w:r>
          </w:p>
        </w:tc>
        <w:tc>
          <w:tcPr/>
          <w:p w:rsidR="00000000" w:rsidDel="00000000" w:rsidP="00000000" w:rsidRDefault="00000000" w:rsidRPr="00000000" w14:paraId="000000B2">
            <w:pPr>
              <w:rPr/>
            </w:pPr>
            <w:r w:rsidDel="00000000" w:rsidR="00000000" w:rsidRPr="00000000">
              <w:rPr>
                <w:rtl w:val="0"/>
              </w:rPr>
              <w:t xml:space="preserve">Two suppliers identified; terms being compared.</w:t>
            </w:r>
          </w:p>
        </w:tc>
      </w:tr>
      <w:tr>
        <w:trPr>
          <w:cantSplit w:val="0"/>
          <w:tblHeader w:val="0"/>
        </w:trPr>
        <w:tc>
          <w:tcPr/>
          <w:p w:rsidR="00000000" w:rsidDel="00000000" w:rsidP="00000000" w:rsidRDefault="00000000" w:rsidRPr="00000000" w14:paraId="000000B3">
            <w:pPr>
              <w:rPr/>
            </w:pPr>
            <w:r w:rsidDel="00000000" w:rsidR="00000000" w:rsidRPr="00000000">
              <w:rPr>
                <w:rtl w:val="0"/>
              </w:rPr>
              <w:t xml:space="preserve">Create and test a secure weekly offline export of essential customer information.</w:t>
            </w:r>
          </w:p>
        </w:tc>
        <w:tc>
          <w:tcPr/>
          <w:p w:rsidR="00000000" w:rsidDel="00000000" w:rsidP="00000000" w:rsidRDefault="00000000" w:rsidRPr="00000000" w14:paraId="000000B4">
            <w:pPr>
              <w:rPr/>
            </w:pPr>
            <w:r w:rsidDel="00000000" w:rsidR="00000000" w:rsidRPr="00000000">
              <w:rPr>
                <w:rtl w:val="0"/>
              </w:rPr>
              <w:t xml:space="preserve">Now</w:t>
            </w:r>
          </w:p>
        </w:tc>
        <w:tc>
          <w:tcPr/>
          <w:p w:rsidR="00000000" w:rsidDel="00000000" w:rsidP="00000000" w:rsidRDefault="00000000" w:rsidRPr="00000000" w14:paraId="000000B5">
            <w:pPr>
              <w:rPr/>
            </w:pPr>
            <w:r w:rsidDel="00000000" w:rsidR="00000000" w:rsidRPr="00000000">
              <w:rPr>
                <w:rtl w:val="0"/>
              </w:rPr>
              <w:t xml:space="preserve">Business Manager</w:t>
            </w:r>
          </w:p>
        </w:tc>
        <w:tc>
          <w:tcPr/>
          <w:p w:rsidR="00000000" w:rsidDel="00000000" w:rsidP="00000000" w:rsidRDefault="00000000" w:rsidRPr="00000000" w14:paraId="000000B6">
            <w:pPr>
              <w:rPr/>
            </w:pPr>
            <w:r w:rsidDel="00000000" w:rsidR="00000000" w:rsidRPr="00000000">
              <w:rPr>
                <w:rtl w:val="0"/>
              </w:rPr>
              <w:t xml:space="preserve">25 September 2026</w:t>
            </w:r>
          </w:p>
        </w:tc>
        <w:tc>
          <w:tcPr/>
          <w:p w:rsidR="00000000" w:rsidDel="00000000" w:rsidP="00000000" w:rsidRDefault="00000000" w:rsidRPr="00000000" w14:paraId="000000B7">
            <w:pPr>
              <w:rPr/>
            </w:pPr>
            <w:r w:rsidDel="00000000" w:rsidR="00000000" w:rsidRPr="00000000">
              <w:rPr>
                <w:rtl w:val="0"/>
              </w:rPr>
              <w:t xml:space="preserve">Process drafted; restoration test outstanding.</w:t>
            </w:r>
          </w:p>
        </w:tc>
      </w:tr>
      <w:tr>
        <w:trPr>
          <w:cantSplit w:val="0"/>
          <w:tblHeader w:val="0"/>
        </w:trPr>
        <w:tc>
          <w:tcPr/>
          <w:p w:rsidR="00000000" w:rsidDel="00000000" w:rsidP="00000000" w:rsidRDefault="00000000" w:rsidRPr="00000000" w14:paraId="000000B8">
            <w:pPr>
              <w:rPr/>
            </w:pPr>
            <w:r w:rsidDel="00000000" w:rsidR="00000000" w:rsidRPr="00000000">
              <w:rPr>
                <w:rtl w:val="0"/>
              </w:rPr>
              <w:t xml:space="preserve">Exercise the loss-of-kitchen workaround.</w:t>
            </w:r>
          </w:p>
        </w:tc>
        <w:tc>
          <w:tcPr/>
          <w:p w:rsidR="00000000" w:rsidDel="00000000" w:rsidP="00000000" w:rsidRDefault="00000000" w:rsidRPr="00000000" w14:paraId="000000B9">
            <w:pPr>
              <w:rPr/>
            </w:pPr>
            <w:r w:rsidDel="00000000" w:rsidR="00000000" w:rsidRPr="00000000">
              <w:rPr>
                <w:rtl w:val="0"/>
              </w:rPr>
              <w:t xml:space="preserve">Next</w:t>
            </w:r>
          </w:p>
        </w:tc>
        <w:tc>
          <w:tcPr/>
          <w:p w:rsidR="00000000" w:rsidDel="00000000" w:rsidP="00000000" w:rsidRDefault="00000000" w:rsidRPr="00000000" w14:paraId="000000BA">
            <w:pPr>
              <w:rPr/>
            </w:pPr>
            <w:r w:rsidDel="00000000" w:rsidR="00000000" w:rsidRPr="00000000">
              <w:rPr>
                <w:rtl w:val="0"/>
              </w:rPr>
              <w:t xml:space="preserve">Shift Supervisor</w:t>
            </w:r>
          </w:p>
        </w:tc>
        <w:tc>
          <w:tcPr/>
          <w:p w:rsidR="00000000" w:rsidDel="00000000" w:rsidP="00000000" w:rsidRDefault="00000000" w:rsidRPr="00000000" w14:paraId="000000BB">
            <w:pPr>
              <w:rPr/>
            </w:pPr>
            <w:r w:rsidDel="00000000" w:rsidR="00000000" w:rsidRPr="00000000">
              <w:rPr>
                <w:rtl w:val="0"/>
              </w:rPr>
              <w:t xml:space="preserve">30 November 2026</w:t>
            </w:r>
          </w:p>
        </w:tc>
        <w:tc>
          <w:tcPr/>
          <w:p w:rsidR="00000000" w:rsidDel="00000000" w:rsidP="00000000" w:rsidRDefault="00000000" w:rsidRPr="00000000" w14:paraId="000000BC">
            <w:pPr>
              <w:rPr/>
            </w:pPr>
            <w:r w:rsidDel="00000000" w:rsidR="00000000" w:rsidRPr="00000000">
              <w:rPr>
                <w:rtl w:val="0"/>
              </w:rPr>
              <w:t xml:space="preserve">Tabletop exercise to include supplier, staffing and customer communications.</w:t>
            </w:r>
          </w:p>
        </w:tc>
      </w:tr>
    </w:tbl>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pStyle w:val="Heading1"/>
        <w:rPr/>
      </w:pPr>
      <w:r w:rsidDel="00000000" w:rsidR="00000000" w:rsidRPr="00000000">
        <w:rPr>
          <w:rtl w:val="0"/>
        </w:rPr>
        <w:t xml:space="preserve">Completed assessment sign-off</w:t>
      </w:r>
    </w:p>
    <w:tbl>
      <w:tblPr>
        <w:tblStyle w:val="Table8"/>
        <w:tblW w:w="10440.0" w:type="dxa"/>
        <w:jc w:val="left"/>
        <w:tblInd w:w="-108.0" w:type="dxa"/>
        <w:tblBorders>
          <w:top w:color="95b3d7" w:space="0" w:sz="4" w:val="single"/>
          <w:left w:color="95b3d7" w:space="0" w:sz="4" w:val="single"/>
          <w:bottom w:color="95b3d7" w:space="0" w:sz="4" w:val="single"/>
          <w:right w:color="95b3d7" w:space="0" w:sz="4" w:val="single"/>
          <w:insideH w:color="95b3d7" w:space="0" w:sz="4" w:val="single"/>
          <w:insideV w:color="95b3d7" w:space="0" w:sz="4" w:val="single"/>
        </w:tblBorders>
        <w:tblLayout w:type="fixed"/>
        <w:tblLook w:val="04A0"/>
      </w:tblPr>
      <w:tblGrid>
        <w:gridCol w:w="2265"/>
        <w:gridCol w:w="1751"/>
        <w:gridCol w:w="2100"/>
        <w:gridCol w:w="4324"/>
        <w:tblGridChange w:id="0">
          <w:tblGrid>
            <w:gridCol w:w="2265"/>
            <w:gridCol w:w="1751"/>
            <w:gridCol w:w="2100"/>
            <w:gridCol w:w="4324"/>
          </w:tblGrid>
        </w:tblGridChange>
      </w:tblGrid>
      <w:tr>
        <w:trPr>
          <w:cantSplit w:val="0"/>
          <w:tblHeader w:val="0"/>
        </w:trPr>
        <w:tc>
          <w:tcPr/>
          <w:p w:rsidR="00000000" w:rsidDel="00000000" w:rsidP="00000000" w:rsidRDefault="00000000" w:rsidRPr="00000000" w14:paraId="000000BF">
            <w:pPr>
              <w:rPr/>
            </w:pPr>
            <w:r w:rsidDel="00000000" w:rsidR="00000000" w:rsidRPr="00000000">
              <w:rPr>
                <w:rtl w:val="0"/>
              </w:rPr>
              <w:t xml:space="preserve">Completed by</w:t>
            </w:r>
          </w:p>
        </w:tc>
        <w:tc>
          <w:tcPr/>
          <w:p w:rsidR="00000000" w:rsidDel="00000000" w:rsidP="00000000" w:rsidRDefault="00000000" w:rsidRPr="00000000" w14:paraId="000000C0">
            <w:pPr>
              <w:rPr/>
            </w:pPr>
            <w:r w:rsidDel="00000000" w:rsidR="00000000" w:rsidRPr="00000000">
              <w:rPr>
                <w:rtl w:val="0"/>
              </w:rPr>
              <w:t xml:space="preserve">Activity owner</w:t>
            </w:r>
          </w:p>
        </w:tc>
        <w:tc>
          <w:tcPr/>
          <w:p w:rsidR="00000000" w:rsidDel="00000000" w:rsidP="00000000" w:rsidRDefault="00000000" w:rsidRPr="00000000" w14:paraId="000000C1">
            <w:pPr>
              <w:rPr/>
            </w:pPr>
            <w:r w:rsidDel="00000000" w:rsidR="00000000" w:rsidRPr="00000000">
              <w:rPr>
                <w:rtl w:val="0"/>
              </w:rPr>
              <w:t xml:space="preserve">Approved by</w:t>
            </w:r>
          </w:p>
        </w:tc>
        <w:tc>
          <w:tcPr/>
          <w:p w:rsidR="00000000" w:rsidDel="00000000" w:rsidP="00000000" w:rsidRDefault="00000000" w:rsidRPr="00000000" w14:paraId="000000C2">
            <w:pPr>
              <w:rPr/>
            </w:pPr>
            <w:r w:rsidDel="00000000" w:rsidR="00000000" w:rsidRPr="00000000">
              <w:rPr>
                <w:rtl w:val="0"/>
              </w:rPr>
              <w:t xml:space="preserve">Next review</w:t>
            </w:r>
          </w:p>
        </w:tc>
      </w:tr>
      <w:tr>
        <w:trPr>
          <w:cantSplit w:val="0"/>
          <w:tblHeader w:val="0"/>
        </w:trPr>
        <w:tc>
          <w:tcPr/>
          <w:p w:rsidR="00000000" w:rsidDel="00000000" w:rsidP="00000000" w:rsidRDefault="00000000" w:rsidRPr="00000000" w14:paraId="000000C3">
            <w:pPr>
              <w:rPr/>
            </w:pPr>
            <w:r w:rsidDel="00000000" w:rsidR="00000000" w:rsidRPr="00000000">
              <w:rPr>
                <w:rtl w:val="0"/>
              </w:rPr>
              <w:t xml:space="preserve">Alex Morgan, Business Manager</w:t>
              <w:br w:type="textWrapping"/>
              <w:t xml:space="preserve">14 September 2026</w:t>
            </w:r>
          </w:p>
        </w:tc>
        <w:tc>
          <w:tcPr/>
          <w:p w:rsidR="00000000" w:rsidDel="00000000" w:rsidP="00000000" w:rsidRDefault="00000000" w:rsidRPr="00000000" w14:paraId="000000C4">
            <w:pPr>
              <w:rPr/>
            </w:pPr>
            <w:r w:rsidDel="00000000" w:rsidR="00000000" w:rsidRPr="00000000">
              <w:rPr>
                <w:rtl w:val="0"/>
              </w:rPr>
              <w:t xml:space="preserve">Jamie Reed, Head Chef</w:t>
              <w:br w:type="textWrapping"/>
              <w:t xml:space="preserve">14 September 2026</w:t>
            </w:r>
          </w:p>
        </w:tc>
        <w:tc>
          <w:tcPr/>
          <w:p w:rsidR="00000000" w:rsidDel="00000000" w:rsidP="00000000" w:rsidRDefault="00000000" w:rsidRPr="00000000" w14:paraId="000000C5">
            <w:pPr>
              <w:rPr/>
            </w:pPr>
            <w:r w:rsidDel="00000000" w:rsidR="00000000" w:rsidRPr="00000000">
              <w:rPr>
                <w:rtl w:val="0"/>
              </w:rPr>
              <w:t xml:space="preserve">Sam Taylor, Managing Director</w:t>
              <w:br w:type="textWrapping"/>
              <w:t xml:space="preserve">14 September 2026</w:t>
            </w:r>
          </w:p>
        </w:tc>
        <w:tc>
          <w:tcPr/>
          <w:p w:rsidR="00000000" w:rsidDel="00000000" w:rsidP="00000000" w:rsidRDefault="00000000" w:rsidRPr="00000000" w14:paraId="000000C6">
            <w:pPr>
              <w:rPr/>
            </w:pPr>
            <w:r w:rsidDel="00000000" w:rsidR="00000000" w:rsidRPr="00000000">
              <w:rPr>
                <w:rtl w:val="0"/>
              </w:rPr>
              <w:t xml:space="preserve">14 September 2027, or earlier after an incident, exercise or significant change</w:t>
            </w:r>
          </w:p>
        </w:tc>
      </w:tr>
    </w:tbl>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pStyle w:val="Heading2"/>
        <w:rPr>
          <w:rFonts w:ascii="Cambria" w:cs="Cambria" w:eastAsia="Cambria" w:hAnsi="Cambria"/>
        </w:rPr>
      </w:pPr>
      <w:r w:rsidDel="00000000" w:rsidR="00000000" w:rsidRPr="00000000">
        <w:rPr>
          <w:rFonts w:ascii="Cambria" w:cs="Cambria" w:eastAsia="Cambria" w:hAnsi="Cambria"/>
          <w:rtl w:val="0"/>
        </w:rPr>
        <w:t xml:space="preserve">Quick check before completing your own BIA</w:t>
      </w:r>
    </w:p>
    <w:p w:rsidR="00000000" w:rsidDel="00000000" w:rsidP="00000000" w:rsidRDefault="00000000" w:rsidRPr="00000000" w14:paraId="000000C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Use realistic information agreed with the people who deliver the activity.</w:t>
      </w:r>
    </w:p>
    <w:p w:rsidR="00000000" w:rsidDel="00000000" w:rsidP="00000000" w:rsidRDefault="00000000" w:rsidRPr="00000000" w14:paraId="000000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Describe consequences over time rather than listing hazards alone.</w:t>
      </w:r>
    </w:p>
    <w:p w:rsidR="00000000" w:rsidDel="00000000" w:rsidP="00000000" w:rsidRDefault="00000000" w:rsidRPr="00000000" w14:paraId="000000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Make the RTO achievable and shorter than the MTPD.</w:t>
      </w:r>
    </w:p>
    <w:p w:rsidR="00000000" w:rsidDel="00000000" w:rsidP="00000000" w:rsidRDefault="00000000" w:rsidRPr="00000000" w14:paraId="000000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Be honest about single points of failure.</w:t>
      </w:r>
    </w:p>
    <w:p w:rsidR="00000000" w:rsidDel="00000000" w:rsidP="00000000" w:rsidRDefault="00000000" w:rsidRPr="00000000" w14:paraId="000000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Give every improvement action an owner and target date.</w:t>
      </w:r>
    </w:p>
    <w:p w:rsidR="00000000" w:rsidDel="00000000" w:rsidP="00000000" w:rsidRDefault="00000000" w:rsidRPr="00000000" w14:paraId="000000C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9" w:lineRule="auto"/>
        <w:ind w:left="720" w:right="0" w:hanging="360"/>
        <w:jc w:val="left"/>
        <w:rPr/>
      </w:pP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tl w:val="0"/>
        </w:rPr>
        <w:t xml:space="preserve">Review the BIA after changes, incidents and exercises—not only on the annual review date.</w:t>
      </w:r>
    </w:p>
    <w:p w:rsidR="00000000" w:rsidDel="00000000" w:rsidP="00000000" w:rsidRDefault="00000000" w:rsidRPr="00000000" w14:paraId="000000CF">
      <w:pPr>
        <w:spacing w:after="20" w:lineRule="auto"/>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936" w:top="936"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Courier New"/>
  <w:font w:name="Apto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1f1f1f"/>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1f1f1f"/>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666666"/>
        <w:sz w:val="16"/>
        <w:szCs w:val="16"/>
        <w:u w:val="none"/>
        <w:shd w:fill="auto" w:val="clear"/>
        <w:vertAlign w:val="baseline"/>
        <w:rtl w:val="0"/>
      </w:rPr>
      <w:t xml:space="preserve">Practical resilience template | Review and adapt locally | </w:t>
    </w:r>
    <w:r w:rsidDel="00000000" w:rsidR="00000000" w:rsidRPr="00000000">
      <w:rPr>
        <w:rFonts w:ascii="Aptos" w:cs="Aptos" w:eastAsia="Aptos" w:hAnsi="Aptos"/>
        <w:b w:val="0"/>
        <w:bCs w:val="0"/>
        <w:i w:val="0"/>
        <w:iCs w:val="0"/>
        <w:smallCaps w:val="0"/>
        <w:strike w:val="0"/>
        <w:color w:val="1f1f1f"/>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1f1f1f"/>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1f1f1f"/>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1f1f1f"/>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156082"/>
        <w:sz w:val="16"/>
        <w:szCs w:val="16"/>
        <w:u w:val="none"/>
        <w:shd w:fill="auto" w:val="clear"/>
        <w:vertAlign w:val="baseline"/>
        <w:rtl w:val="0"/>
      </w:rPr>
      <w:t xml:space="preserve">Suffolk SME Business Continuity Toolkit</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1f1f1f"/>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1f1f1f"/>
        <w:lang w:val="en"/>
      </w:rPr>
    </w:rPrDefault>
    <w:pPrDefault>
      <w:pPr>
        <w:spacing w:after="10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00" w:lineRule="auto"/>
    </w:pPr>
    <w:rPr>
      <w:rFonts w:ascii="Calibri" w:cs="Calibri" w:eastAsia="Calibri" w:hAnsi="Calibri"/>
      <w:b w:val="1"/>
      <w:bCs w:val="1"/>
      <w:color w:val="156082"/>
      <w:sz w:val="32"/>
      <w:szCs w:val="32"/>
    </w:rPr>
  </w:style>
  <w:style w:type="paragraph" w:styleId="Heading2">
    <w:name w:val="heading 2"/>
    <w:basedOn w:val="Normal"/>
    <w:next w:val="Normal"/>
    <w:pPr>
      <w:keepNext w:val="1"/>
      <w:keepLines w:val="1"/>
      <w:spacing w:before="200" w:lineRule="auto"/>
    </w:pPr>
    <w:rPr>
      <w:rFonts w:ascii="Calibri" w:cs="Calibri" w:eastAsia="Calibri" w:hAnsi="Calibri"/>
      <w:b w:val="1"/>
      <w:bCs w:val="1"/>
      <w:color w:val="156082"/>
      <w:sz w:val="24"/>
      <w:szCs w:val="24"/>
    </w:rPr>
  </w:style>
  <w:style w:type="paragraph" w:styleId="Heading3">
    <w:name w:val="heading 3"/>
    <w:basedOn w:val="Normal"/>
    <w:next w:val="Normal"/>
    <w:pPr>
      <w:keepNext w:val="1"/>
      <w:keepLines w:val="1"/>
      <w:spacing w:before="200" w:lineRule="auto"/>
    </w:pPr>
    <w:rPr>
      <w:rFonts w:ascii="Calibri" w:cs="Calibri" w:eastAsia="Calibri" w:hAnsi="Calibri"/>
      <w:b w:val="1"/>
      <w:bCs w:val="1"/>
      <w:sz w:val="21"/>
      <w:szCs w:val="21"/>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before="200" w:line="240" w:lineRule="auto"/>
    </w:pPr>
    <w:rPr>
      <w:rFonts w:ascii="Calibri" w:cs="Calibri" w:eastAsia="Calibri" w:hAnsi="Calibri"/>
      <w:b w:val="1"/>
      <w:bCs w:val="1"/>
      <w:color w:val="156082"/>
      <w:sz w:val="48"/>
      <w:szCs w:val="48"/>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mallNote" w:customStyle="1">
    <w:name w:val="Small Note"/>
    <w:rPr>
      <w:rFonts w:ascii="Aptos" w:hAnsi="Aptos"/>
      <w:color w:val="666666"/>
      <w:sz w:val="16"/>
    </w:rPr>
  </w:style>
  <w:style w:type="paragraph" w:styleId="NormalWeb">
    <w:name w:val="Normal (Web)"/>
    <w:basedOn w:val="Normal"/>
    <w:uiPriority w:val="99"/>
    <w:semiHidden w:val="1"/>
    <w:unhideWhenUsed w:val="1"/>
    <w:rsid w:val="007C0A7D"/>
    <w:pPr>
      <w:spacing w:afterAutospacing="1" w:before="100" w:beforeAutospacing="1" w:line="240" w:lineRule="auto"/>
    </w:pPr>
    <w:rPr>
      <w:rFonts w:ascii="Times New Roman" w:cs="Times New Roman" w:hAnsi="Times New Roman"/>
      <w:color w:val="auto"/>
      <w:kern w:val="2"/>
      <w:sz w:val="24"/>
      <w:szCs w:val="24"/>
      <w:lang w:eastAsia="en-GB" w:val="en-GB"/>
    </w:rPr>
  </w:style>
  <w:style w:type="table" w:styleId="GridTable4-Accent1">
    <w:name w:val="Grid Table 4 Accent 1"/>
    <w:basedOn w:val="TableNormal"/>
    <w:uiPriority w:val="49"/>
    <w:rsid w:val="007C0A7D"/>
    <w:pPr>
      <w:spacing w:after="0" w:line="240" w:lineRule="auto"/>
    </w:pPr>
    <w:tblPr>
      <w:tblStyleRowBandSize w:val="1"/>
      <w:tblStyleColBandSize w:val="1"/>
      <w:tblBorders>
        <w:top w:color="95b3d7" w:space="0" w:sz="4" w:themeColor="accent1" w:themeTint="000099" w:val="single"/>
        <w:left w:color="95b3d7" w:space="0" w:sz="4" w:themeColor="accent1" w:themeTint="000099" w:val="single"/>
        <w:bottom w:color="95b3d7" w:space="0" w:sz="4" w:themeColor="accent1" w:themeTint="000099" w:val="single"/>
        <w:right w:color="95b3d7" w:space="0" w:sz="4" w:themeColor="accent1" w:themeTint="000099" w:val="single"/>
        <w:insideH w:color="95b3d7" w:space="0" w:sz="4" w:themeColor="accent1" w:themeTint="000099" w:val="single"/>
        <w:insideV w:color="95b3d7" w:space="0" w:sz="4" w:themeColor="accent1" w:themeTint="000099" w:val="single"/>
      </w:tblBorders>
    </w:tblPr>
    <w:tblStylePr w:type="firstRow">
      <w:rPr>
        <w:b w:val="1"/>
        <w:bCs w:val="1"/>
        <w:color w:val="ffffff" w:themeColor="background1"/>
      </w:rPr>
      <w:tblPr/>
      <w:tcPr>
        <w:tcBorders>
          <w:top w:color="4f81bd" w:space="0" w:sz="4" w:themeColor="accent1" w:val="single"/>
          <w:left w:color="4f81bd" w:space="0" w:sz="4" w:themeColor="accent1" w:val="single"/>
          <w:bottom w:color="4f81bd" w:space="0" w:sz="4" w:themeColor="accent1" w:val="single"/>
          <w:right w:color="4f81bd" w:space="0" w:sz="4" w:themeColor="accent1" w:val="single"/>
          <w:insideH w:space="0" w:sz="0" w:val="nil"/>
          <w:insideV w:space="0" w:sz="0" w:val="nil"/>
        </w:tcBorders>
        <w:shd w:color="auto" w:fill="4f81bd" w:themeFill="accent1" w:val="clear"/>
      </w:tcPr>
    </w:tblStylePr>
    <w:tblStylePr w:type="lastRow">
      <w:rPr>
        <w:b w:val="1"/>
        <w:bCs w:val="1"/>
      </w:rPr>
      <w:tblPr/>
      <w:tcPr>
        <w:tcBorders>
          <w:top w:color="4f81bd" w:space="0" w:sz="4" w:themeColor="accent1" w:val="double"/>
        </w:tcBorders>
      </w:tcPr>
    </w:tblStylePr>
    <w:tblStylePr w:type="firstCol">
      <w:rPr>
        <w:b w:val="1"/>
        <w:bCs w:val="1"/>
      </w:rPr>
    </w:tblStylePr>
    <w:tblStylePr w:type="lastCol">
      <w:rPr>
        <w:b w:val="1"/>
        <w:bCs w:val="1"/>
      </w:rPr>
    </w:tblStylePr>
    <w:tblStylePr w:type="band1Vert">
      <w:tblPr/>
      <w:tcPr>
        <w:shd w:color="auto" w:fill="dbe5f1" w:themeFill="accent1" w:themeFillTint="000033" w:val="clear"/>
      </w:tcPr>
    </w:tblStylePr>
    <w:tblStylePr w:type="band1Horz">
      <w:tblPr/>
      <w:tcPr>
        <w:shd w:color="auto" w:fill="dbe5f1" w:themeFill="accent1" w:themeFillTint="000033"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be5f1" w:val="clear"/>
      </w:tcPr>
    </w:tblStylePr>
    <w:tblStylePr w:type="band1Vert">
      <w:tcPr>
        <w:shd w:fill="dbe5f1" w:val="clear"/>
      </w:tcPr>
    </w:tblStylePr>
    <w:tblStylePr w:type="firstCol">
      <w:rPr>
        <w:b w:val="1"/>
        <w:bCs w:val="1"/>
      </w:rPr>
    </w:tblStylePr>
    <w:tblStylePr w:type="firstRow">
      <w:rPr>
        <w:b w:val="1"/>
        <w:bCs w:val="1"/>
        <w:color w:val="ffffff"/>
      </w:rPr>
      <w:tcPr>
        <w:tcBorders>
          <w:top w:color="4f81bd" w:space="0" w:sz="4" w:val="single"/>
          <w:left w:color="4f81bd" w:space="0" w:sz="4" w:val="single"/>
          <w:bottom w:color="4f81bd" w:space="0" w:sz="4" w:val="single"/>
          <w:right w:color="4f81bd" w:space="0" w:sz="4" w:val="single"/>
          <w:insideH w:color="000000" w:space="0" w:sz="0" w:val="nil"/>
          <w:insideV w:color="000000" w:space="0" w:sz="0" w:val="nil"/>
        </w:tcBorders>
        <w:shd w:fill="4f81bd" w:val="clear"/>
      </w:tcPr>
    </w:tblStylePr>
    <w:tblStylePr w:type="lastCol">
      <w:rPr>
        <w:b w:val="1"/>
        <w:bCs w:val="1"/>
      </w:rPr>
    </w:tblStylePr>
    <w:tblStylePr w:type="lastRow">
      <w:rPr>
        <w:b w:val="1"/>
        <w:bCs w:val="1"/>
      </w:rPr>
      <w:tcPr>
        <w:tcBorders>
          <w:top w:color="4f81bd" w:space="0" w:sz="4" w:val="single"/>
        </w:tcBorders>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be5f1" w:val="clear"/>
      </w:tcPr>
    </w:tblStylePr>
    <w:tblStylePr w:type="band1Vert">
      <w:tcPr>
        <w:shd w:fill="dbe5f1" w:val="clear"/>
      </w:tcPr>
    </w:tblStylePr>
    <w:tblStylePr w:type="firstCol">
      <w:rPr>
        <w:b w:val="1"/>
        <w:bCs w:val="1"/>
      </w:rPr>
    </w:tblStylePr>
    <w:tblStylePr w:type="firstRow">
      <w:rPr>
        <w:b w:val="1"/>
        <w:bCs w:val="1"/>
        <w:color w:val="ffffff"/>
      </w:rPr>
      <w:tcPr>
        <w:tcBorders>
          <w:top w:color="4f81bd" w:space="0" w:sz="4" w:val="single"/>
          <w:left w:color="4f81bd" w:space="0" w:sz="4" w:val="single"/>
          <w:bottom w:color="4f81bd" w:space="0" w:sz="4" w:val="single"/>
          <w:right w:color="4f81bd" w:space="0" w:sz="4" w:val="single"/>
          <w:insideH w:color="000000" w:space="0" w:sz="0" w:val="nil"/>
          <w:insideV w:color="000000" w:space="0" w:sz="0" w:val="nil"/>
        </w:tcBorders>
        <w:shd w:fill="4f81bd" w:val="clear"/>
      </w:tcPr>
    </w:tblStylePr>
    <w:tblStylePr w:type="lastCol">
      <w:rPr>
        <w:b w:val="1"/>
        <w:bCs w:val="1"/>
      </w:rPr>
    </w:tblStylePr>
    <w:tblStylePr w:type="lastRow">
      <w:rPr>
        <w:b w:val="1"/>
        <w:bCs w:val="1"/>
      </w:rPr>
      <w:tcPr>
        <w:tcBorders>
          <w:top w:color="4f81bd" w:space="0" w:sz="4" w:val="single"/>
        </w:tcBorders>
      </w:tcPr>
    </w:tblStyle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be5f1" w:val="clear"/>
      </w:tcPr>
    </w:tblStylePr>
    <w:tblStylePr w:type="band1Vert">
      <w:tcPr>
        <w:shd w:fill="dbe5f1" w:val="clear"/>
      </w:tcPr>
    </w:tblStylePr>
    <w:tblStylePr w:type="firstCol">
      <w:rPr>
        <w:b w:val="1"/>
        <w:bCs w:val="1"/>
      </w:rPr>
    </w:tblStylePr>
    <w:tblStylePr w:type="firstRow">
      <w:rPr>
        <w:b w:val="1"/>
        <w:bCs w:val="1"/>
        <w:color w:val="ffffff"/>
      </w:rPr>
      <w:tcPr>
        <w:tcBorders>
          <w:top w:color="4f81bd" w:space="0" w:sz="4" w:val="single"/>
          <w:left w:color="4f81bd" w:space="0" w:sz="4" w:val="single"/>
          <w:bottom w:color="4f81bd" w:space="0" w:sz="4" w:val="single"/>
          <w:right w:color="4f81bd" w:space="0" w:sz="4" w:val="single"/>
          <w:insideH w:color="000000" w:space="0" w:sz="0" w:val="nil"/>
          <w:insideV w:color="000000" w:space="0" w:sz="0" w:val="nil"/>
        </w:tcBorders>
        <w:shd w:fill="4f81bd" w:val="clear"/>
      </w:tcPr>
    </w:tblStylePr>
    <w:tblStylePr w:type="lastCol">
      <w:rPr>
        <w:b w:val="1"/>
        <w:bCs w:val="1"/>
      </w:rPr>
    </w:tblStylePr>
    <w:tblStylePr w:type="lastRow">
      <w:rPr>
        <w:b w:val="1"/>
        <w:bCs w:val="1"/>
      </w:rPr>
      <w:tcPr>
        <w:tcBorders>
          <w:top w:color="4f81bd" w:space="0" w:sz="4" w:val="single"/>
        </w:tcBorders>
      </w:tcPr>
    </w:tblStyle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be5f1" w:val="clear"/>
      </w:tcPr>
    </w:tblStylePr>
    <w:tblStylePr w:type="band1Vert">
      <w:tcPr>
        <w:shd w:fill="dbe5f1" w:val="clear"/>
      </w:tcPr>
    </w:tblStylePr>
    <w:tblStylePr w:type="firstCol">
      <w:rPr>
        <w:b w:val="1"/>
        <w:bCs w:val="1"/>
      </w:rPr>
    </w:tblStylePr>
    <w:tblStylePr w:type="firstRow">
      <w:rPr>
        <w:b w:val="1"/>
        <w:bCs w:val="1"/>
        <w:color w:val="ffffff"/>
      </w:rPr>
      <w:tcPr>
        <w:tcBorders>
          <w:top w:color="4f81bd" w:space="0" w:sz="4" w:val="single"/>
          <w:left w:color="4f81bd" w:space="0" w:sz="4" w:val="single"/>
          <w:bottom w:color="4f81bd" w:space="0" w:sz="4" w:val="single"/>
          <w:right w:color="4f81bd" w:space="0" w:sz="4" w:val="single"/>
          <w:insideH w:color="000000" w:space="0" w:sz="0" w:val="nil"/>
          <w:insideV w:color="000000" w:space="0" w:sz="0" w:val="nil"/>
        </w:tcBorders>
        <w:shd w:fill="4f81bd" w:val="clear"/>
      </w:tcPr>
    </w:tblStylePr>
    <w:tblStylePr w:type="lastCol">
      <w:rPr>
        <w:b w:val="1"/>
        <w:bCs w:val="1"/>
      </w:rPr>
    </w:tblStylePr>
    <w:tblStylePr w:type="lastRow">
      <w:rPr>
        <w:b w:val="1"/>
        <w:bCs w:val="1"/>
      </w:rPr>
      <w:tcPr>
        <w:tcBorders>
          <w:top w:color="4f81bd" w:space="0" w:sz="4" w:val="single"/>
        </w:tcBorders>
      </w:tcPr>
    </w:tblStyle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be5f1" w:val="clear"/>
      </w:tcPr>
    </w:tblStylePr>
    <w:tblStylePr w:type="band1Vert">
      <w:tcPr>
        <w:shd w:fill="dbe5f1" w:val="clear"/>
      </w:tcPr>
    </w:tblStylePr>
    <w:tblStylePr w:type="firstCol">
      <w:rPr>
        <w:b w:val="1"/>
        <w:bCs w:val="1"/>
      </w:rPr>
    </w:tblStylePr>
    <w:tblStylePr w:type="firstRow">
      <w:rPr>
        <w:b w:val="1"/>
        <w:bCs w:val="1"/>
        <w:color w:val="ffffff"/>
      </w:rPr>
      <w:tcPr>
        <w:tcBorders>
          <w:top w:color="4f81bd" w:space="0" w:sz="4" w:val="single"/>
          <w:left w:color="4f81bd" w:space="0" w:sz="4" w:val="single"/>
          <w:bottom w:color="4f81bd" w:space="0" w:sz="4" w:val="single"/>
          <w:right w:color="4f81bd" w:space="0" w:sz="4" w:val="single"/>
          <w:insideH w:color="000000" w:space="0" w:sz="0" w:val="nil"/>
          <w:insideV w:color="000000" w:space="0" w:sz="0" w:val="nil"/>
        </w:tcBorders>
        <w:shd w:fill="4f81bd" w:val="clear"/>
      </w:tcPr>
    </w:tblStylePr>
    <w:tblStylePr w:type="lastCol">
      <w:rPr>
        <w:b w:val="1"/>
        <w:bCs w:val="1"/>
      </w:rPr>
    </w:tblStylePr>
    <w:tblStylePr w:type="lastRow">
      <w:rPr>
        <w:b w:val="1"/>
        <w:bCs w:val="1"/>
      </w:rPr>
      <w:tcPr>
        <w:tcBorders>
          <w:top w:color="4f81bd" w:space="0" w:sz="4" w:val="single"/>
        </w:tcBorders>
      </w:tcPr>
    </w:tblStyle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be5f1" w:val="clear"/>
      </w:tcPr>
    </w:tblStylePr>
    <w:tblStylePr w:type="band1Vert">
      <w:tcPr>
        <w:shd w:fill="dbe5f1" w:val="clear"/>
      </w:tcPr>
    </w:tblStylePr>
    <w:tblStylePr w:type="firstCol">
      <w:rPr>
        <w:b w:val="1"/>
        <w:bCs w:val="1"/>
      </w:rPr>
    </w:tblStylePr>
    <w:tblStylePr w:type="firstRow">
      <w:rPr>
        <w:b w:val="1"/>
        <w:bCs w:val="1"/>
        <w:color w:val="ffffff"/>
      </w:rPr>
      <w:tcPr>
        <w:tcBorders>
          <w:top w:color="4f81bd" w:space="0" w:sz="4" w:val="single"/>
          <w:left w:color="4f81bd" w:space="0" w:sz="4" w:val="single"/>
          <w:bottom w:color="4f81bd" w:space="0" w:sz="4" w:val="single"/>
          <w:right w:color="4f81bd" w:space="0" w:sz="4" w:val="single"/>
          <w:insideH w:color="000000" w:space="0" w:sz="0" w:val="nil"/>
          <w:insideV w:color="000000" w:space="0" w:sz="0" w:val="nil"/>
        </w:tcBorders>
        <w:shd w:fill="4f81bd" w:val="clear"/>
      </w:tcPr>
    </w:tblStylePr>
    <w:tblStylePr w:type="lastCol">
      <w:rPr>
        <w:b w:val="1"/>
        <w:bCs w:val="1"/>
      </w:rPr>
    </w:tblStylePr>
    <w:tblStylePr w:type="lastRow">
      <w:rPr>
        <w:b w:val="1"/>
        <w:bCs w:val="1"/>
      </w:rPr>
      <w:tcPr>
        <w:tcBorders>
          <w:top w:color="4f81bd" w:space="0" w:sz="4" w:val="single"/>
        </w:tcBorders>
      </w:tcPr>
    </w:tblStyle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be5f1" w:val="clear"/>
      </w:tcPr>
    </w:tblStylePr>
    <w:tblStylePr w:type="band1Vert">
      <w:tcPr>
        <w:shd w:fill="dbe5f1" w:val="clear"/>
      </w:tcPr>
    </w:tblStylePr>
    <w:tblStylePr w:type="firstCol">
      <w:rPr>
        <w:b w:val="1"/>
        <w:bCs w:val="1"/>
      </w:rPr>
    </w:tblStylePr>
    <w:tblStylePr w:type="firstRow">
      <w:rPr>
        <w:b w:val="1"/>
        <w:bCs w:val="1"/>
        <w:color w:val="ffffff"/>
      </w:rPr>
      <w:tcPr>
        <w:tcBorders>
          <w:top w:color="4f81bd" w:space="0" w:sz="4" w:val="single"/>
          <w:left w:color="4f81bd" w:space="0" w:sz="4" w:val="single"/>
          <w:bottom w:color="4f81bd" w:space="0" w:sz="4" w:val="single"/>
          <w:right w:color="4f81bd" w:space="0" w:sz="4" w:val="single"/>
          <w:insideH w:color="000000" w:space="0" w:sz="0" w:val="nil"/>
          <w:insideV w:color="000000" w:space="0" w:sz="0" w:val="nil"/>
        </w:tcBorders>
        <w:shd w:fill="4f81bd" w:val="clear"/>
      </w:tcPr>
    </w:tblStylePr>
    <w:tblStylePr w:type="lastCol">
      <w:rPr>
        <w:b w:val="1"/>
        <w:bCs w:val="1"/>
      </w:rPr>
    </w:tblStylePr>
    <w:tblStylePr w:type="lastRow">
      <w:rPr>
        <w:b w:val="1"/>
        <w:bCs w:val="1"/>
      </w:rPr>
      <w:tcPr>
        <w:tcBorders>
          <w:top w:color="4f81bd" w:space="0" w:sz="4" w:val="single"/>
        </w:tcBorders>
      </w:tcPr>
    </w:tblStyle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dbe5f1" w:val="clear"/>
      </w:tcPr>
    </w:tblStylePr>
    <w:tblStylePr w:type="band1Vert">
      <w:tcPr>
        <w:shd w:fill="dbe5f1" w:val="clear"/>
      </w:tcPr>
    </w:tblStylePr>
    <w:tblStylePr w:type="firstCol">
      <w:rPr>
        <w:b w:val="1"/>
        <w:bCs w:val="1"/>
      </w:rPr>
    </w:tblStylePr>
    <w:tblStylePr w:type="firstRow">
      <w:rPr>
        <w:b w:val="1"/>
        <w:bCs w:val="1"/>
        <w:color w:val="ffffff"/>
      </w:rPr>
      <w:tcPr>
        <w:tcBorders>
          <w:top w:color="4f81bd" w:space="0" w:sz="4" w:val="single"/>
          <w:left w:color="4f81bd" w:space="0" w:sz="4" w:val="single"/>
          <w:bottom w:color="4f81bd" w:space="0" w:sz="4" w:val="single"/>
          <w:right w:color="4f81bd" w:space="0" w:sz="4" w:val="single"/>
          <w:insideH w:color="000000" w:space="0" w:sz="0" w:val="nil"/>
          <w:insideV w:color="000000" w:space="0" w:sz="0" w:val="nil"/>
        </w:tcBorders>
        <w:shd w:fill="4f81bd" w:val="clear"/>
      </w:tcPr>
    </w:tblStylePr>
    <w:tblStylePr w:type="lastCol">
      <w:rPr>
        <w:b w:val="1"/>
        <w:bCs w:val="1"/>
      </w:rPr>
    </w:tblStylePr>
    <w:tblStylePr w:type="lastRow">
      <w:rPr>
        <w:b w:val="1"/>
        <w:bCs w:val="1"/>
      </w:rPr>
      <w:tcPr>
        <w:tcBorders>
          <w:top w:color="4f81bd"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5a7puRn0YoMaOqT1BeA9i+X9cg==">CgMxLjA4AHIhMXc0VjNtWGVrUUJpYkc1MnRWTU9wX0twbm9GUEQ0bzBi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2026-09-14T15:00:00Z</dcterms:created>
  <dc:creator>Gill Muncaster (JEPU)</dc:creator>
</cp:coreProperties>
</file>