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40"/>
        <w:jc w:val="center"/>
      </w:pPr>
      <w:r>
        <w:rPr>
          <w:rFonts w:ascii="Aptos Display" w:hAnsi="Aptos Display"/>
          <w:b/>
          <w:color w:val="F58220"/>
          <w:sz w:val="36"/>
        </w:rPr>
        <w:t>Suffolk SME</w:t>
      </w:r>
    </w:p>
    <w:p>
      <w:pPr>
        <w:jc w:val="center"/>
      </w:pPr>
      <w:r>
        <w:rPr>
          <w:rFonts w:ascii="Aptos Display" w:hAnsi="Aptos Display"/>
          <w:b/>
          <w:color w:val="143B53"/>
          <w:sz w:val="56"/>
        </w:rPr>
        <w:t>Business Continuity Toolkit</w:t>
      </w:r>
    </w:p>
    <w:p>
      <w:pPr>
        <w:spacing w:before="500"/>
        <w:jc w:val="center"/>
      </w:pPr>
      <w:r>
        <w:rPr>
          <w:rFonts w:ascii="Aptos Display" w:hAnsi="Aptos Display"/>
          <w:b/>
          <w:color w:val="007A78"/>
          <w:sz w:val="50"/>
        </w:rPr>
        <w:t>CONTRACTOR BUSINESS</w:t>
        <w:br/>
        <w:t>CONTINUITY ASSURANCE GUIDE</w:t>
      </w:r>
    </w:p>
    <w:p>
      <w:pPr>
        <w:ind w:left="648" w:right="648"/>
        <w:jc w:val="center"/>
      </w:pPr>
      <w:r>
        <w:t>What clients may require and how contractors can demonstrate robust continuity arrangements</w:t>
      </w:r>
    </w:p>
    <w:tbl>
      <w:tblPr>
        <w:tblW w:type="auto" w:w="0"/>
        <w:jc w:val="center"/>
        <w:tblLook w:firstColumn="1" w:firstRow="1" w:lastColumn="0" w:lastRow="0" w:noHBand="0" w:noVBand="1" w:val="04A0"/>
      </w:tblPr>
      <w:tblGrid>
        <w:gridCol w:w="10282"/>
      </w:tblGrid>
      <w:tr>
        <w:tc>
          <w:tcPr>
            <w:tcW w:type="dxa" w:w="10282"/>
            <w:shd w:fill="FFF3E8"/>
            <w:tcMar>
              <w:top w:w="170" w:type="dxa"/>
              <w:start w:w="170" w:type="dxa"/>
              <w:bottom w:w="170" w:type="dxa"/>
              <w:end w:w="170" w:type="dxa"/>
            </w:tcMar>
          </w:tcPr>
          <w:p>
            <w:pPr>
              <w:spacing w:after="60"/>
            </w:pPr>
            <w:r/>
            <w:r>
              <w:rPr>
                <w:rFonts w:ascii="Aptos Display" w:hAnsi="Aptos Display"/>
                <w:b/>
                <w:color w:val="007A78"/>
                <w:sz w:val="22"/>
              </w:rPr>
              <w:t>PURPOSE OF THIS GUIDE</w:t>
            </w:r>
          </w:p>
          <w:p>
            <w:pPr>
              <w:spacing w:after="0" w:line="259" w:lineRule="auto"/>
            </w:pPr>
            <w:r>
              <w:rPr>
                <w:rFonts w:ascii="Aptos" w:hAnsi="Aptos"/>
                <w:color w:val="1F2933"/>
                <w:sz w:val="18"/>
              </w:rPr>
              <w:t>This guide helps contractors and subcontractors understand the business continuity assurance that may be requested during tendering, mobilisation, contract review or renewal. It does not explain how to write a business continuity plan. It focuses on how to check that arrangements are robust and how to demonstrate them clearly.</w:t>
            </w:r>
          </w:p>
        </w:tc>
      </w:tr>
    </w:tbl>
    <w:tbl>
      <w:tblPr>
        <w:tblW w:type="auto" w:w="0"/>
        <w:jc w:val="center"/>
        <w:tblLook w:firstColumn="1" w:firstRow="1" w:lastColumn="0" w:lastRow="0" w:noHBand="0" w:noVBand="1" w:val="04A0"/>
      </w:tblPr>
      <w:tblGrid>
        <w:gridCol w:w="10282"/>
      </w:tblGrid>
      <w:tr>
        <w:tc>
          <w:tcPr>
            <w:tcW w:type="dxa" w:w="10282"/>
            <w:shd w:fill="EAF5F4"/>
            <w:tcMar>
              <w:top w:w="170" w:type="dxa"/>
              <w:start w:w="170" w:type="dxa"/>
              <w:bottom w:w="170" w:type="dxa"/>
              <w:end w:w="170" w:type="dxa"/>
            </w:tcMar>
          </w:tcPr>
          <w:p>
            <w:pPr>
              <w:spacing w:after="60"/>
            </w:pPr>
            <w:r/>
            <w:r>
              <w:rPr>
                <w:rFonts w:ascii="Aptos Display" w:hAnsi="Aptos Display"/>
                <w:b/>
                <w:color w:val="007A78"/>
                <w:sz w:val="22"/>
              </w:rPr>
              <w:t>KEY MESSAGE</w:t>
            </w:r>
          </w:p>
          <w:p>
            <w:pPr>
              <w:spacing w:after="0" w:line="259" w:lineRule="auto"/>
            </w:pPr>
            <w:r>
              <w:rPr>
                <w:rFonts w:ascii="Aptos" w:hAnsi="Aptos"/>
                <w:color w:val="1F2933"/>
                <w:sz w:val="18"/>
              </w:rPr>
              <w:t>Having a document is not enough. Clients need confidence that continuity arrangements are current, owned, practical, understood, tested and relevant to the service being delivered.</w:t>
            </w:r>
          </w:p>
        </w:tc>
      </w:tr>
    </w:tbl>
    <w:p>
      <w:r>
        <w:br w:type="page"/>
      </w:r>
    </w:p>
    <w:p>
      <w:pPr>
        <w:pStyle w:val="Heading1"/>
        <w:keepNext/>
      </w:pPr>
      <w:r>
        <w:t>What clients want confidence in</w:t>
      </w:r>
    </w:p>
    <w:p>
      <w:r>
        <w:t>A client, commissioner or contract manager is likely to look beyond whether a business continuity plan exists. They may want confidence that the contractor can maintain an agreed minimum service, manage disruption and recover within a timeframe that supports the contract.</w:t>
      </w:r>
    </w:p>
    <w:tbl>
      <w:tblPr>
        <w:tblW w:type="auto" w:w="0"/>
        <w:jc w:val="center"/>
        <w:tblLayout w:type="fixed"/>
        <w:tblLook w:firstColumn="1" w:firstRow="1" w:lastColumn="0" w:lastRow="0" w:noHBand="0" w:noVBand="1" w:val="04A0"/>
      </w:tblPr>
      <w:tblGrid>
        <w:gridCol w:w="5141"/>
        <w:gridCol w:w="5141"/>
      </w:tblGrid>
      <w:tr>
        <w:trPr>
          <w:tblHeader w:val="true"/>
        </w:trPr>
        <w:tc>
          <w:tcPr>
            <w:tcW w:type="dxa" w:w="5141"/>
            <w:vAlign w:val="center"/>
            <w:tcMar>
              <w:top w:w="120" w:type="dxa"/>
              <w:start w:w="120" w:type="dxa"/>
              <w:bottom w:w="120" w:type="dxa"/>
              <w:end w:w="120" w:type="dxa"/>
            </w:tcMar>
            <w:shd w:fill="143B53"/>
          </w:tcPr>
          <w:p>
            <w:pPr>
              <w:spacing w:after="0" w:line="252" w:lineRule="auto"/>
              <w:jc w:val="center"/>
            </w:pPr>
            <w:r/>
            <w:r>
              <w:rPr>
                <w:rFonts w:ascii="Aptos" w:hAnsi="Aptos"/>
                <w:b/>
                <w:color w:val="FFFFFF"/>
                <w:sz w:val="18"/>
              </w:rPr>
              <w:t>Assurance area</w:t>
            </w:r>
          </w:p>
        </w:tc>
        <w:tc>
          <w:tcPr>
            <w:tcW w:type="dxa" w:w="5141"/>
            <w:vAlign w:val="center"/>
            <w:tcMar>
              <w:top w:w="120" w:type="dxa"/>
              <w:start w:w="120" w:type="dxa"/>
              <w:bottom w:w="120" w:type="dxa"/>
              <w:end w:w="120" w:type="dxa"/>
            </w:tcMar>
            <w:shd w:fill="143B53"/>
          </w:tcPr>
          <w:p>
            <w:pPr>
              <w:spacing w:after="0" w:line="252" w:lineRule="auto"/>
              <w:jc w:val="center"/>
            </w:pPr>
            <w:r/>
            <w:r>
              <w:rPr>
                <w:rFonts w:ascii="Aptos" w:hAnsi="Aptos"/>
                <w:b/>
                <w:color w:val="FFFFFF"/>
                <w:sz w:val="18"/>
              </w:rPr>
              <w:t>What the client may be looking for</w:t>
            </w:r>
          </w:p>
        </w:tc>
      </w:tr>
      <w:tr>
        <w:trPr>
          <w:cantSplit/>
        </w:trPr>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8"/>
              </w:rPr>
              <w:t>Service priorities</w:t>
            </w:r>
          </w:p>
        </w:tc>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8"/>
              </w:rPr>
              <w:t>The contractor knows which activities matter most, what minimum service must continue and how quickly priority activities must recover.</w:t>
            </w:r>
          </w:p>
        </w:tc>
      </w:tr>
      <w:tr>
        <w:trPr>
          <w:cantSplit/>
        </w:trPr>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8"/>
              </w:rPr>
              <w:t>Leadership and decisions</w:t>
            </w:r>
          </w:p>
        </w:tc>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8"/>
              </w:rPr>
              <w:t>Named people can activate arrangements, lead the response and provide deputy cover.</w:t>
            </w:r>
          </w:p>
        </w:tc>
      </w:tr>
      <w:tr>
        <w:trPr>
          <w:cantSplit/>
        </w:trPr>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8"/>
              </w:rPr>
              <w:t>Communication and escalation</w:t>
            </w:r>
          </w:p>
        </w:tc>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8"/>
              </w:rPr>
              <w:t>Staff and clients can be contacted promptly, with clear notification triggers and escalation routes.</w:t>
            </w:r>
          </w:p>
        </w:tc>
      </w:tr>
      <w:tr>
        <w:trPr>
          <w:cantSplit/>
        </w:trPr>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8"/>
              </w:rPr>
              <w:t>Dependencies and alternatives</w:t>
            </w:r>
          </w:p>
        </w:tc>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8"/>
              </w:rPr>
              <w:t>Key staff, premises, vehicles, equipment, systems, data, suppliers and subcontractors are understood, with realistic alternatives where needed.</w:t>
            </w:r>
          </w:p>
        </w:tc>
      </w:tr>
      <w:tr>
        <w:trPr>
          <w:cantSplit/>
        </w:trPr>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8"/>
              </w:rPr>
              <w:t>Testing and learning</w:t>
            </w:r>
          </w:p>
        </w:tc>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8"/>
              </w:rPr>
              <w:t>Arrangements have been tested or reviewed, findings recorded and improvements implemented.</w:t>
            </w:r>
          </w:p>
        </w:tc>
      </w:tr>
      <w:tr>
        <w:trPr>
          <w:cantSplit/>
        </w:trPr>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8"/>
              </w:rPr>
              <w:t>Ongoing ownership</w:t>
            </w:r>
          </w:p>
        </w:tc>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8"/>
              </w:rPr>
              <w:t>A named owner maintains the arrangements and reviews them after significant change, disruption or at the agreed review point.</w:t>
            </w:r>
          </w:p>
        </w:tc>
      </w:tr>
    </w:tbl>
    <w:p>
      <w:pPr>
        <w:pStyle w:val="Heading1"/>
        <w:keepNext/>
      </w:pPr>
      <w:r>
        <w:t>Common assurance questions</w:t>
      </w:r>
    </w:p>
    <w:p>
      <w:pPr>
        <w:pStyle w:val="ListBullet"/>
        <w:spacing w:after="60"/>
      </w:pPr>
      <w:r>
        <w:t>Do you have current business continuity arrangements for this service?</w:t>
      </w:r>
    </w:p>
    <w:p>
      <w:pPr>
        <w:pStyle w:val="ListBullet"/>
        <w:spacing w:after="60"/>
      </w:pPr>
      <w:r>
        <w:t>Who owns the arrangements and who can activate them?</w:t>
      </w:r>
    </w:p>
    <w:p>
      <w:pPr>
        <w:pStyle w:val="ListBullet"/>
        <w:spacing w:after="60"/>
      </w:pPr>
      <w:r>
        <w:t>When were they last reviewed and when is the next review?</w:t>
      </w:r>
    </w:p>
    <w:p>
      <w:pPr>
        <w:pStyle w:val="ListBullet"/>
        <w:spacing w:after="60"/>
      </w:pPr>
      <w:r>
        <w:t>Which activities must continue or recover first?</w:t>
      </w:r>
    </w:p>
    <w:p>
      <w:pPr>
        <w:pStyle w:val="ListBullet"/>
        <w:spacing w:after="60"/>
      </w:pPr>
      <w:r>
        <w:t>What minimum service can you maintain during disruption?</w:t>
      </w:r>
    </w:p>
    <w:p>
      <w:pPr>
        <w:pStyle w:val="ListBullet"/>
        <w:spacing w:after="60"/>
      </w:pPr>
      <w:r>
        <w:t>What recovery times have been agreed and do they align with the contract?</w:t>
      </w:r>
    </w:p>
    <w:p>
      <w:pPr>
        <w:pStyle w:val="ListBullet"/>
        <w:spacing w:after="60"/>
      </w:pPr>
      <w:r>
        <w:t>How would you notify the client if delivery were affected?</w:t>
      </w:r>
    </w:p>
    <w:p>
      <w:pPr>
        <w:pStyle w:val="ListBullet"/>
        <w:spacing w:after="60"/>
      </w:pPr>
      <w:r>
        <w:t>What would happen if key staff, premises, systems, vehicles or equipment were unavailable?</w:t>
      </w:r>
    </w:p>
    <w:p>
      <w:pPr>
        <w:pStyle w:val="ListBullet"/>
        <w:spacing w:after="60"/>
      </w:pPr>
      <w:r>
        <w:t>Have you considered risks from critical suppliers and subcontractors?</w:t>
      </w:r>
    </w:p>
    <w:p>
      <w:pPr>
        <w:pStyle w:val="ListBullet"/>
        <w:spacing w:after="60"/>
      </w:pPr>
      <w:r>
        <w:t>When were the arrangements last tested and what improvements followed?</w:t>
      </w:r>
    </w:p>
    <w:p>
      <w:r>
        <w:br w:type="page"/>
      </w:r>
    </w:p>
    <w:p>
      <w:pPr>
        <w:pStyle w:val="Heading1"/>
        <w:keepNext/>
      </w:pPr>
      <w:r>
        <w:t>Evidence that may be requested</w:t>
      </w:r>
    </w:p>
    <w:p>
      <w:r>
        <w:t>The evidence requested should be proportionate to the service and risk. Not every organisation will ask for every item. Contractors should be ready to identify what evidence exists, when it was reviewed and how it can be accessed securely.</w:t>
      </w:r>
    </w:p>
    <w:tbl>
      <w:tblPr>
        <w:tblW w:type="auto" w:w="0"/>
        <w:jc w:val="center"/>
        <w:tblLayout w:type="fixed"/>
        <w:tblLook w:firstColumn="1" w:firstRow="1" w:lastColumn="0" w:lastRow="0" w:noHBand="0" w:noVBand="1" w:val="04A0"/>
      </w:tblPr>
      <w:tblGrid>
        <w:gridCol w:w="5141"/>
        <w:gridCol w:w="5141"/>
      </w:tblGrid>
      <w:tr>
        <w:trPr>
          <w:tblHeader w:val="true"/>
        </w:trPr>
        <w:tc>
          <w:tcPr>
            <w:tcW w:type="dxa" w:w="5141"/>
            <w:vAlign w:val="center"/>
            <w:tcMar>
              <w:top w:w="120" w:type="dxa"/>
              <w:start w:w="120" w:type="dxa"/>
              <w:bottom w:w="120" w:type="dxa"/>
              <w:end w:w="120" w:type="dxa"/>
            </w:tcMar>
            <w:shd w:fill="143B53"/>
          </w:tcPr>
          <w:p>
            <w:pPr>
              <w:spacing w:after="0" w:line="252" w:lineRule="auto"/>
              <w:jc w:val="center"/>
            </w:pPr>
            <w:r/>
            <w:r>
              <w:rPr>
                <w:rFonts w:ascii="Aptos" w:hAnsi="Aptos"/>
                <w:b/>
                <w:color w:val="FFFFFF"/>
                <w:sz w:val="17"/>
              </w:rPr>
              <w:t>Evidence</w:t>
            </w:r>
          </w:p>
        </w:tc>
        <w:tc>
          <w:tcPr>
            <w:tcW w:type="dxa" w:w="5141"/>
            <w:vAlign w:val="center"/>
            <w:tcMar>
              <w:top w:w="120" w:type="dxa"/>
              <w:start w:w="120" w:type="dxa"/>
              <w:bottom w:w="120" w:type="dxa"/>
              <w:end w:w="120" w:type="dxa"/>
            </w:tcMar>
            <w:shd w:fill="143B53"/>
          </w:tcPr>
          <w:p>
            <w:pPr>
              <w:spacing w:after="0" w:line="252" w:lineRule="auto"/>
              <w:jc w:val="center"/>
            </w:pPr>
            <w:r/>
            <w:r>
              <w:rPr>
                <w:rFonts w:ascii="Aptos" w:hAnsi="Aptos"/>
                <w:b/>
                <w:color w:val="FFFFFF"/>
                <w:sz w:val="17"/>
              </w:rPr>
              <w:t>What it may demonstrate</w:t>
            </w:r>
          </w:p>
        </w:tc>
      </w:tr>
      <w:tr>
        <w:trPr>
          <w:cantSplit/>
        </w:trPr>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7"/>
              </w:rPr>
              <w:t>Current continuity arrangements or plan</w:t>
            </w:r>
          </w:p>
        </w:tc>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7"/>
              </w:rPr>
              <w:t>Shows the overall approach, ownership, activation, priorities, contacts, workarounds and recovery arrangements.</w:t>
            </w:r>
          </w:p>
        </w:tc>
      </w:tr>
      <w:tr>
        <w:trPr>
          <w:cantSplit/>
        </w:trPr>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7"/>
              </w:rPr>
              <w:t>Service priority and recovery information</w:t>
            </w:r>
          </w:p>
        </w:tc>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7"/>
              </w:rPr>
              <w:t>Shows critical activities, minimum service levels, staffing, dependencies and realistic recovery times.</w:t>
            </w:r>
          </w:p>
        </w:tc>
      </w:tr>
      <w:tr>
        <w:trPr>
          <w:cantSplit/>
        </w:trPr>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7"/>
              </w:rPr>
              <w:t>Review and approval record</w:t>
            </w:r>
          </w:p>
        </w:tc>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7"/>
              </w:rPr>
              <w:t>Shows that arrangements are owned, approved and maintained.</w:t>
            </w:r>
          </w:p>
        </w:tc>
      </w:tr>
      <w:tr>
        <w:trPr>
          <w:cantSplit/>
        </w:trPr>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7"/>
              </w:rPr>
              <w:t>Contact and escalation information</w:t>
            </w:r>
          </w:p>
        </w:tc>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7"/>
              </w:rPr>
              <w:t>Shows how leaders, staff, the client, suppliers and subcontractors would be contacted.</w:t>
            </w:r>
          </w:p>
        </w:tc>
      </w:tr>
      <w:tr>
        <w:trPr>
          <w:cantSplit/>
        </w:trPr>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7"/>
              </w:rPr>
              <w:t>Testing or exercise record</w:t>
            </w:r>
          </w:p>
        </w:tc>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7"/>
              </w:rPr>
              <w:t>Shows what was tested, what was learned and what changed as a result.</w:t>
            </w:r>
          </w:p>
        </w:tc>
      </w:tr>
      <w:tr>
        <w:trPr>
          <w:cantSplit/>
        </w:trPr>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7"/>
              </w:rPr>
              <w:t>Incident or lessons record</w:t>
            </w:r>
          </w:p>
        </w:tc>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7"/>
              </w:rPr>
              <w:t>Shows how learning from real disruption has been captured and implemented.</w:t>
            </w:r>
          </w:p>
        </w:tc>
      </w:tr>
      <w:tr>
        <w:trPr>
          <w:cantSplit/>
        </w:trPr>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7"/>
              </w:rPr>
              <w:t>Supplier and subcontractor contingency information</w:t>
            </w:r>
          </w:p>
        </w:tc>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7"/>
              </w:rPr>
              <w:t>Shows that critical external dependencies and alternatives have been considered.</w:t>
            </w:r>
          </w:p>
        </w:tc>
      </w:tr>
      <w:tr>
        <w:trPr>
          <w:cantSplit/>
        </w:trPr>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7"/>
              </w:rPr>
              <w:t>IT backup, restoration or workaround evidence</w:t>
            </w:r>
          </w:p>
        </w:tc>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7"/>
              </w:rPr>
              <w:t>Shows that essential information and systems can be recovered or bypassed where appropriate.</w:t>
            </w:r>
          </w:p>
        </w:tc>
      </w:tr>
      <w:tr>
        <w:trPr>
          <w:cantSplit/>
        </w:trPr>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7"/>
              </w:rPr>
              <w:t>Training or staff awareness record</w:t>
            </w:r>
          </w:p>
        </w:tc>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7"/>
              </w:rPr>
              <w:t>Shows that relevant staff understand the arrangements and their responsibilities.</w:t>
            </w:r>
          </w:p>
        </w:tc>
      </w:tr>
    </w:tbl>
    <w:tbl>
      <w:tblPr>
        <w:tblW w:type="auto" w:w="0"/>
        <w:jc w:val="center"/>
        <w:tblLook w:firstColumn="1" w:firstRow="1" w:lastColumn="0" w:lastRow="0" w:noHBand="0" w:noVBand="1" w:val="04A0"/>
      </w:tblPr>
      <w:tblGrid>
        <w:gridCol w:w="10282"/>
      </w:tblGrid>
      <w:tr>
        <w:tc>
          <w:tcPr>
            <w:tcW w:type="dxa" w:w="10282"/>
            <w:shd w:fill="EAF5F4"/>
            <w:tcMar>
              <w:top w:w="170" w:type="dxa"/>
              <w:start w:w="170" w:type="dxa"/>
              <w:bottom w:w="170" w:type="dxa"/>
              <w:end w:w="170" w:type="dxa"/>
            </w:tcMar>
          </w:tcPr>
          <w:p>
            <w:pPr>
              <w:spacing w:after="60"/>
            </w:pPr>
            <w:r/>
            <w:r>
              <w:rPr>
                <w:rFonts w:ascii="Aptos Display" w:hAnsi="Aptos Display"/>
                <w:b/>
                <w:color w:val="007A78"/>
                <w:sz w:val="22"/>
              </w:rPr>
              <w:t>PROPORTIONATE EVIDENCE</w:t>
            </w:r>
          </w:p>
          <w:p>
            <w:pPr>
              <w:spacing w:after="0" w:line="259" w:lineRule="auto"/>
            </w:pPr>
            <w:r>
              <w:rPr>
                <w:rFonts w:ascii="Aptos" w:hAnsi="Aptos"/>
                <w:color w:val="1F2933"/>
                <w:sz w:val="18"/>
              </w:rPr>
              <w:t>A smaller contractor may provide a short plan and a concise evidence summary. What matters is that the information is accurate, relevant, current and usable, and that important claims can be demonstrated.</w:t>
            </w:r>
          </w:p>
        </w:tc>
      </w:tr>
    </w:tbl>
    <w:tbl>
      <w:tblPr>
        <w:tblW w:type="auto" w:w="0"/>
        <w:jc w:val="center"/>
        <w:tblLook w:firstColumn="1" w:firstRow="1" w:lastColumn="0" w:lastRow="0" w:noHBand="0" w:noVBand="1" w:val="04A0"/>
      </w:tblPr>
      <w:tblGrid>
        <w:gridCol w:w="10282"/>
      </w:tblGrid>
      <w:tr>
        <w:tc>
          <w:tcPr>
            <w:tcW w:type="dxa" w:w="10282"/>
            <w:shd w:fill="EAF5F4"/>
            <w:tcMar>
              <w:top w:w="170" w:type="dxa"/>
              <w:start w:w="170" w:type="dxa"/>
              <w:bottom w:w="170" w:type="dxa"/>
              <w:end w:w="170" w:type="dxa"/>
            </w:tcMar>
          </w:tcPr>
          <w:p>
            <w:pPr>
              <w:spacing w:after="60"/>
            </w:pPr>
            <w:r/>
            <w:r>
              <w:rPr>
                <w:rFonts w:ascii="Aptos Display" w:hAnsi="Aptos Display"/>
                <w:b/>
                <w:color w:val="007A78"/>
                <w:sz w:val="22"/>
              </w:rPr>
              <w:t>INFORMATION SECURITY</w:t>
            </w:r>
          </w:p>
          <w:p>
            <w:pPr>
              <w:spacing w:after="0" w:line="259" w:lineRule="auto"/>
            </w:pPr>
            <w:r>
              <w:rPr>
                <w:rFonts w:ascii="Aptos" w:hAnsi="Aptos"/>
                <w:color w:val="1F2933"/>
                <w:sz w:val="18"/>
              </w:rPr>
              <w:t>Do not include passwords, personal contact lists, detailed cyber controls or other security-sensitive information in a general assurance return. Reference a secure location or agree a controlled review method.</w:t>
            </w:r>
          </w:p>
        </w:tc>
      </w:tr>
    </w:tbl>
    <w:p>
      <w:r>
        <w:br w:type="page"/>
      </w:r>
    </w:p>
    <w:p>
      <w:pPr>
        <w:pStyle w:val="Heading1"/>
        <w:keepNext/>
      </w:pPr>
      <w:r>
        <w:t>What good assurance looks like</w:t>
      </w:r>
    </w:p>
    <w:tbl>
      <w:tblPr>
        <w:tblW w:type="auto" w:w="0"/>
        <w:jc w:val="center"/>
        <w:tblLayout w:type="fixed"/>
        <w:tblLook w:firstColumn="1" w:firstRow="1" w:lastColumn="0" w:lastRow="0" w:noHBand="0" w:noVBand="1" w:val="04A0"/>
      </w:tblPr>
      <w:tblGrid>
        <w:gridCol w:w="5141"/>
        <w:gridCol w:w="5141"/>
      </w:tblGrid>
      <w:tr>
        <w:trPr>
          <w:tblHeader w:val="true"/>
        </w:trPr>
        <w:tc>
          <w:tcPr>
            <w:tcW w:type="dxa" w:w="5141"/>
            <w:vAlign w:val="center"/>
            <w:tcMar>
              <w:top w:w="120" w:type="dxa"/>
              <w:start w:w="120" w:type="dxa"/>
              <w:bottom w:w="120" w:type="dxa"/>
              <w:end w:w="120" w:type="dxa"/>
            </w:tcMar>
            <w:shd w:fill="143B53"/>
          </w:tcPr>
          <w:p>
            <w:pPr>
              <w:spacing w:after="0" w:line="252" w:lineRule="auto"/>
              <w:jc w:val="center"/>
            </w:pPr>
            <w:r/>
            <w:r>
              <w:rPr>
                <w:rFonts w:ascii="Aptos" w:hAnsi="Aptos"/>
                <w:b/>
                <w:color w:val="FFFFFF"/>
                <w:sz w:val="18"/>
              </w:rPr>
              <w:t>Characteristic</w:t>
            </w:r>
          </w:p>
        </w:tc>
        <w:tc>
          <w:tcPr>
            <w:tcW w:type="dxa" w:w="5141"/>
            <w:vAlign w:val="center"/>
            <w:tcMar>
              <w:top w:w="120" w:type="dxa"/>
              <w:start w:w="120" w:type="dxa"/>
              <w:bottom w:w="120" w:type="dxa"/>
              <w:end w:w="120" w:type="dxa"/>
            </w:tcMar>
            <w:shd w:fill="143B53"/>
          </w:tcPr>
          <w:p>
            <w:pPr>
              <w:spacing w:after="0" w:line="252" w:lineRule="auto"/>
              <w:jc w:val="center"/>
            </w:pPr>
            <w:r/>
            <w:r>
              <w:rPr>
                <w:rFonts w:ascii="Aptos" w:hAnsi="Aptos"/>
                <w:b/>
                <w:color w:val="FFFFFF"/>
                <w:sz w:val="18"/>
              </w:rPr>
              <w:t>What this means</w:t>
            </w:r>
          </w:p>
        </w:tc>
      </w:tr>
      <w:tr>
        <w:trPr>
          <w:cantSplit/>
        </w:trPr>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8"/>
              </w:rPr>
              <w:t>Current</w:t>
            </w:r>
          </w:p>
        </w:tc>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8"/>
              </w:rPr>
              <w:t>Review dates, contacts, roles and dependencies are up to date.</w:t>
            </w:r>
          </w:p>
        </w:tc>
      </w:tr>
      <w:tr>
        <w:trPr>
          <w:cantSplit/>
        </w:trPr>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8"/>
              </w:rPr>
              <w:t>Owned</w:t>
            </w:r>
          </w:p>
        </w:tc>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8"/>
              </w:rPr>
              <w:t>A named person is responsible and senior approval is clear.</w:t>
            </w:r>
          </w:p>
        </w:tc>
      </w:tr>
      <w:tr>
        <w:trPr>
          <w:cantSplit/>
        </w:trPr>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8"/>
              </w:rPr>
              <w:t>Service-specific</w:t>
            </w:r>
          </w:p>
        </w:tc>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8"/>
              </w:rPr>
              <w:t>The arrangements reflect the actual contract rather than a generic organisational statement.</w:t>
            </w:r>
          </w:p>
        </w:tc>
      </w:tr>
      <w:tr>
        <w:trPr>
          <w:cantSplit/>
        </w:trPr>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8"/>
              </w:rPr>
              <w:t>Practical</w:t>
            </w:r>
          </w:p>
        </w:tc>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8"/>
              </w:rPr>
              <w:t>Workarounds, alternatives and escalation routes can realistically be used.</w:t>
            </w:r>
          </w:p>
        </w:tc>
      </w:tr>
      <w:tr>
        <w:trPr>
          <w:cantSplit/>
        </w:trPr>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8"/>
              </w:rPr>
              <w:t>Aligned</w:t>
            </w:r>
          </w:p>
        </w:tc>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8"/>
              </w:rPr>
              <w:t>Minimum service levels and recovery times are consistent with contractual expectations.</w:t>
            </w:r>
          </w:p>
        </w:tc>
      </w:tr>
      <w:tr>
        <w:trPr>
          <w:cantSplit/>
        </w:trPr>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8"/>
              </w:rPr>
              <w:t>Tested</w:t>
            </w:r>
          </w:p>
        </w:tc>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8"/>
              </w:rPr>
              <w:t>There is evidence that arrangements have been checked and learning implemented.</w:t>
            </w:r>
          </w:p>
        </w:tc>
      </w:tr>
      <w:tr>
        <w:trPr>
          <w:cantSplit/>
        </w:trPr>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8"/>
              </w:rPr>
              <w:t>Transparent</w:t>
            </w:r>
          </w:p>
        </w:tc>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8"/>
              </w:rPr>
              <w:t>Gaps are recorded with actions, owners and target dates.</w:t>
            </w:r>
          </w:p>
        </w:tc>
      </w:tr>
      <w:tr>
        <w:trPr>
          <w:cantSplit/>
        </w:trPr>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8"/>
              </w:rPr>
              <w:t>Proportionate</w:t>
            </w:r>
          </w:p>
        </w:tc>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8"/>
              </w:rPr>
              <w:t>The level of evidence reflects the service criticality and likely impact of failure.</w:t>
            </w:r>
          </w:p>
        </w:tc>
      </w:tr>
    </w:tbl>
    <w:p>
      <w:pPr>
        <w:pStyle w:val="Heading1"/>
        <w:keepNext/>
      </w:pPr>
      <w:r>
        <w:t>What does not provide strong assurance</w:t>
      </w:r>
    </w:p>
    <w:p>
      <w:pPr>
        <w:pStyle w:val="ListBullet"/>
        <w:spacing w:after="60"/>
      </w:pPr>
      <w:r>
        <w:t>A plan with no named owner, approval date or review schedule.</w:t>
      </w:r>
    </w:p>
    <w:p>
      <w:pPr>
        <w:pStyle w:val="ListBullet"/>
        <w:spacing w:after="60"/>
      </w:pPr>
      <w:r>
        <w:t>A generic plan that does not identify the contracted service or its priorities.</w:t>
      </w:r>
    </w:p>
    <w:p>
      <w:pPr>
        <w:pStyle w:val="ListBullet"/>
        <w:spacing w:after="60"/>
      </w:pPr>
      <w:r>
        <w:t>Recovery times that have not been checked against contract requirements.</w:t>
      </w:r>
    </w:p>
    <w:p>
      <w:pPr>
        <w:pStyle w:val="ListBullet"/>
        <w:spacing w:after="60"/>
      </w:pPr>
      <w:r>
        <w:t>No clear trigger or route for notifying the client.</w:t>
      </w:r>
    </w:p>
    <w:p>
      <w:pPr>
        <w:pStyle w:val="ListBullet"/>
        <w:spacing w:after="60"/>
      </w:pPr>
      <w:r>
        <w:t>No deputy cover or alternative for a critical dependency.</w:t>
      </w:r>
    </w:p>
    <w:p>
      <w:pPr>
        <w:pStyle w:val="ListBullet"/>
        <w:spacing w:after="60"/>
      </w:pPr>
      <w:r>
        <w:t>No evidence that arrangements have been tested or discussed with staff.</w:t>
      </w:r>
    </w:p>
    <w:p>
      <w:pPr>
        <w:pStyle w:val="ListBullet"/>
        <w:spacing w:after="60"/>
      </w:pPr>
      <w:r>
        <w:t>Lessons or gaps recorded without owners, target dates or follow-up.</w:t>
      </w:r>
    </w:p>
    <w:p>
      <w:pPr>
        <w:pStyle w:val="ListBullet"/>
        <w:spacing w:after="60"/>
      </w:pPr>
      <w:r>
        <w:t>Assurances that cannot be supported by evidence when reasonably requested.</w:t>
      </w:r>
    </w:p>
    <w:tbl>
      <w:tblPr>
        <w:tblW w:type="auto" w:w="0"/>
        <w:jc w:val="center"/>
        <w:tblLook w:firstColumn="1" w:firstRow="1" w:lastColumn="0" w:lastRow="0" w:noHBand="0" w:noVBand="1" w:val="04A0"/>
      </w:tblPr>
      <w:tblGrid>
        <w:gridCol w:w="10282"/>
      </w:tblGrid>
      <w:tr>
        <w:tc>
          <w:tcPr>
            <w:tcW w:type="dxa" w:w="10282"/>
            <w:shd w:fill="FFF3E8"/>
            <w:tcMar>
              <w:top w:w="170" w:type="dxa"/>
              <w:start w:w="170" w:type="dxa"/>
              <w:bottom w:w="170" w:type="dxa"/>
              <w:end w:w="170" w:type="dxa"/>
            </w:tcMar>
          </w:tcPr>
          <w:p>
            <w:pPr>
              <w:spacing w:after="60"/>
            </w:pPr>
            <w:r/>
            <w:r>
              <w:rPr>
                <w:rFonts w:ascii="Aptos Display" w:hAnsi="Aptos Display"/>
                <w:b/>
                <w:color w:val="007A78"/>
                <w:sz w:val="22"/>
              </w:rPr>
              <w:t>IMPORTANT</w:t>
            </w:r>
          </w:p>
          <w:p>
            <w:pPr>
              <w:spacing w:after="0" w:line="259" w:lineRule="auto"/>
            </w:pPr>
            <w:r>
              <w:rPr>
                <w:rFonts w:ascii="Aptos" w:hAnsi="Aptos"/>
                <w:color w:val="1F2933"/>
                <w:sz w:val="18"/>
              </w:rPr>
              <w:t>A genuine gap with a clear improvement action provides better assurance than an unsupported claim that an arrangement is complete.</w:t>
            </w:r>
          </w:p>
        </w:tc>
      </w:tr>
    </w:tbl>
    <w:p>
      <w:r>
        <w:br w:type="page"/>
      </w:r>
    </w:p>
    <w:p>
      <w:pPr>
        <w:pStyle w:val="Heading1"/>
        <w:keepNext/>
      </w:pPr>
      <w:r>
        <w:t>Using the contractor assurance toolkit</w:t>
      </w:r>
    </w:p>
    <w:tbl>
      <w:tblPr>
        <w:tblW w:type="auto" w:w="0"/>
        <w:jc w:val="center"/>
        <w:tblLayout w:type="fixed"/>
        <w:tblLook w:firstColumn="1" w:firstRow="1" w:lastColumn="0" w:lastRow="0" w:noHBand="0" w:noVBand="1" w:val="04A0"/>
      </w:tblPr>
      <w:tblGrid>
        <w:gridCol w:w="5141"/>
        <w:gridCol w:w="5141"/>
      </w:tblGrid>
      <w:tr>
        <w:trPr>
          <w:tblHeader w:val="true"/>
        </w:trPr>
        <w:tc>
          <w:tcPr>
            <w:tcW w:type="dxa" w:w="5141"/>
            <w:vAlign w:val="center"/>
            <w:tcMar>
              <w:top w:w="120" w:type="dxa"/>
              <w:start w:w="120" w:type="dxa"/>
              <w:bottom w:w="120" w:type="dxa"/>
              <w:end w:w="120" w:type="dxa"/>
            </w:tcMar>
            <w:shd w:fill="143B53"/>
          </w:tcPr>
          <w:p>
            <w:pPr>
              <w:spacing w:after="0" w:line="252" w:lineRule="auto"/>
              <w:jc w:val="center"/>
            </w:pPr>
            <w:r/>
            <w:r>
              <w:rPr>
                <w:rFonts w:ascii="Aptos" w:hAnsi="Aptos"/>
                <w:b/>
                <w:color w:val="FFFFFF"/>
                <w:sz w:val="18"/>
              </w:rPr>
              <w:t>Step</w:t>
            </w:r>
          </w:p>
        </w:tc>
        <w:tc>
          <w:tcPr>
            <w:tcW w:type="dxa" w:w="5141"/>
            <w:vAlign w:val="center"/>
            <w:tcMar>
              <w:top w:w="120" w:type="dxa"/>
              <w:start w:w="120" w:type="dxa"/>
              <w:bottom w:w="120" w:type="dxa"/>
              <w:end w:w="120" w:type="dxa"/>
            </w:tcMar>
            <w:shd w:fill="143B53"/>
          </w:tcPr>
          <w:p>
            <w:pPr>
              <w:spacing w:after="0" w:line="252" w:lineRule="auto"/>
              <w:jc w:val="center"/>
            </w:pPr>
            <w:r/>
            <w:r>
              <w:rPr>
                <w:rFonts w:ascii="Aptos" w:hAnsi="Aptos"/>
                <w:b/>
                <w:color w:val="FFFFFF"/>
                <w:sz w:val="18"/>
              </w:rPr>
              <w:t>Action</w:t>
            </w:r>
          </w:p>
        </w:tc>
      </w:tr>
      <w:tr>
        <w:trPr>
          <w:cantSplit/>
        </w:trPr>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8"/>
              </w:rPr>
              <w:t>1. Read this guide</w:t>
            </w:r>
          </w:p>
        </w:tc>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8"/>
              </w:rPr>
              <w:t>Understand the assurance a client may require.</w:t>
            </w:r>
          </w:p>
        </w:tc>
      </w:tr>
      <w:tr>
        <w:trPr>
          <w:cantSplit/>
        </w:trPr>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8"/>
              </w:rPr>
              <w:t>2. Complete the self-check</w:t>
            </w:r>
          </w:p>
        </w:tc>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8"/>
              </w:rPr>
              <w:t>Review whether your arrangements are robust and identify any gaps.</w:t>
            </w:r>
          </w:p>
        </w:tc>
      </w:tr>
      <w:tr>
        <w:trPr>
          <w:cantSplit/>
        </w:trPr>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8"/>
              </w:rPr>
              <w:t>3. Complete the evidence template</w:t>
            </w:r>
          </w:p>
        </w:tc>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8"/>
              </w:rPr>
              <w:t>Summarise the arrangements for the service and reference supporting evidence.</w:t>
            </w:r>
          </w:p>
        </w:tc>
      </w:tr>
      <w:tr>
        <w:trPr>
          <w:cantSplit/>
        </w:trPr>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8"/>
              </w:rPr>
              <w:t>4. Use the worked example if needed</w:t>
            </w:r>
          </w:p>
        </w:tc>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8"/>
              </w:rPr>
              <w:t>See the practical level of detail that could be provided.</w:t>
            </w:r>
          </w:p>
        </w:tc>
      </w:tr>
      <w:tr>
        <w:trPr>
          <w:cantSplit/>
        </w:trPr>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8"/>
              </w:rPr>
              <w:t>5. Agree actions</w:t>
            </w:r>
          </w:p>
        </w:tc>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8"/>
              </w:rPr>
              <w:t>Discuss gaps, owners, target dates and follow-up with the client where required.</w:t>
            </w:r>
          </w:p>
        </w:tc>
      </w:tr>
    </w:tbl>
    <w:p>
      <w:pPr>
        <w:pStyle w:val="Heading1"/>
        <w:keepNext/>
      </w:pPr>
      <w:r>
        <w:t>Before submitting assurance</w:t>
      </w:r>
    </w:p>
    <w:p>
      <w:pPr>
        <w:pStyle w:val="ListBullet"/>
        <w:spacing w:after="60"/>
      </w:pPr>
      <w:r>
        <w:t>Check that the information relates to the correct service or contract.</w:t>
      </w:r>
    </w:p>
    <w:p>
      <w:pPr>
        <w:pStyle w:val="ListBullet"/>
        <w:spacing w:after="60"/>
      </w:pPr>
      <w:r>
        <w:t>Confirm that document owners, deputies and client contacts are current.</w:t>
      </w:r>
    </w:p>
    <w:p>
      <w:pPr>
        <w:pStyle w:val="ListBullet"/>
        <w:spacing w:after="60"/>
      </w:pPr>
      <w:r>
        <w:t>Check that minimum service levels and recovery times are realistic.</w:t>
      </w:r>
    </w:p>
    <w:p>
      <w:pPr>
        <w:pStyle w:val="ListBullet"/>
        <w:spacing w:after="60"/>
      </w:pPr>
      <w:r>
        <w:t>Confirm that evidence locations are accessible to the right people.</w:t>
      </w:r>
    </w:p>
    <w:p>
      <w:pPr>
        <w:pStyle w:val="ListBullet"/>
        <w:spacing w:after="60"/>
      </w:pPr>
      <w:r>
        <w:t>Record incomplete arrangements in the improvement plan.</w:t>
      </w:r>
    </w:p>
    <w:p>
      <w:pPr>
        <w:pStyle w:val="ListBullet"/>
        <w:spacing w:after="60"/>
      </w:pPr>
      <w:r>
        <w:t>Remove or protect personal, commercially sensitive and security-sensitive information.</w:t>
      </w:r>
    </w:p>
    <w:p>
      <w:pPr>
        <w:pStyle w:val="ListBullet"/>
        <w:spacing w:after="60"/>
      </w:pPr>
      <w:r>
        <w:t>Arrange a review following significant change, disruption or the next scheduled review point.</w:t>
      </w:r>
    </w:p>
    <w:p>
      <w:pPr>
        <w:pStyle w:val="Heading1"/>
        <w:keepNext/>
      </w:pPr>
      <w:r>
        <w:t>Toolkit documents</w:t>
      </w:r>
    </w:p>
    <w:tbl>
      <w:tblPr>
        <w:tblW w:type="auto" w:w="0"/>
        <w:jc w:val="center"/>
        <w:tblLayout w:type="fixed"/>
        <w:tblLook w:firstColumn="1" w:firstRow="1" w:lastColumn="0" w:lastRow="0" w:noHBand="0" w:noVBand="1" w:val="04A0"/>
      </w:tblPr>
      <w:tblGrid>
        <w:gridCol w:w="5141"/>
        <w:gridCol w:w="5141"/>
      </w:tblGrid>
      <w:tr>
        <w:trPr>
          <w:tblHeader w:val="true"/>
        </w:trPr>
        <w:tc>
          <w:tcPr>
            <w:tcW w:type="dxa" w:w="5141"/>
            <w:vAlign w:val="center"/>
            <w:tcMar>
              <w:top w:w="120" w:type="dxa"/>
              <w:start w:w="120" w:type="dxa"/>
              <w:bottom w:w="120" w:type="dxa"/>
              <w:end w:w="120" w:type="dxa"/>
            </w:tcMar>
            <w:shd w:fill="143B53"/>
          </w:tcPr>
          <w:p>
            <w:pPr>
              <w:spacing w:after="0" w:line="252" w:lineRule="auto"/>
              <w:jc w:val="center"/>
            </w:pPr>
            <w:r/>
            <w:r>
              <w:rPr>
                <w:rFonts w:ascii="Aptos" w:hAnsi="Aptos"/>
                <w:b/>
                <w:color w:val="FFFFFF"/>
                <w:sz w:val="17"/>
              </w:rPr>
              <w:t>Document</w:t>
            </w:r>
          </w:p>
        </w:tc>
        <w:tc>
          <w:tcPr>
            <w:tcW w:type="dxa" w:w="5141"/>
            <w:vAlign w:val="center"/>
            <w:tcMar>
              <w:top w:w="120" w:type="dxa"/>
              <w:start w:w="120" w:type="dxa"/>
              <w:bottom w:w="120" w:type="dxa"/>
              <w:end w:w="120" w:type="dxa"/>
            </w:tcMar>
            <w:shd w:fill="143B53"/>
          </w:tcPr>
          <w:p>
            <w:pPr>
              <w:spacing w:after="0" w:line="252" w:lineRule="auto"/>
              <w:jc w:val="center"/>
            </w:pPr>
            <w:r/>
            <w:r>
              <w:rPr>
                <w:rFonts w:ascii="Aptos" w:hAnsi="Aptos"/>
                <w:b/>
                <w:color w:val="FFFFFF"/>
                <w:sz w:val="17"/>
              </w:rPr>
              <w:t>Purpose</w:t>
            </w:r>
          </w:p>
        </w:tc>
      </w:tr>
      <w:tr>
        <w:trPr>
          <w:cantSplit/>
        </w:trPr>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7"/>
              </w:rPr>
              <w:t>Contractor Business Continuity Assurance Guide</w:t>
            </w:r>
          </w:p>
        </w:tc>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7"/>
              </w:rPr>
              <w:t>Explains what clients may require and what strong assurance looks like.</w:t>
            </w:r>
          </w:p>
        </w:tc>
      </w:tr>
      <w:tr>
        <w:trPr>
          <w:cantSplit/>
        </w:trPr>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7"/>
              </w:rPr>
              <w:t>Contractor Business Continuity Self-Check</w:t>
            </w:r>
          </w:p>
        </w:tc>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7"/>
              </w:rPr>
              <w:t>Helps contractors test whether their arrangements are robust.</w:t>
            </w:r>
          </w:p>
        </w:tc>
      </w:tr>
      <w:tr>
        <w:trPr>
          <w:cantSplit/>
        </w:trPr>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7"/>
              </w:rPr>
              <w:t>Contractor Evidence Template</w:t>
            </w:r>
          </w:p>
        </w:tc>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7"/>
              </w:rPr>
              <w:t>Records service-specific arrangements and references evidence.</w:t>
            </w:r>
          </w:p>
        </w:tc>
      </w:tr>
      <w:tr>
        <w:trPr>
          <w:cantSplit/>
        </w:trPr>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7"/>
              </w:rPr>
              <w:t>Completed Example Contractor Evidence Template</w:t>
            </w:r>
          </w:p>
        </w:tc>
        <w:tc>
          <w:tcPr>
            <w:tcW w:type="dxa" w:w="5141"/>
            <w:vAlign w:val="center"/>
            <w:tcMar>
              <w:top w:w="120" w:type="dxa"/>
              <w:start w:w="120" w:type="dxa"/>
              <w:bottom w:w="120" w:type="dxa"/>
              <w:end w:w="120" w:type="dxa"/>
            </w:tcMar>
            <w:shd w:fill="F3F6F8"/>
          </w:tcPr>
          <w:p>
            <w:pPr>
              <w:spacing w:after="0" w:line="252" w:lineRule="auto"/>
              <w:jc w:val="left"/>
            </w:pPr>
            <w:r/>
            <w:r>
              <w:rPr>
                <w:rFonts w:ascii="Aptos" w:hAnsi="Aptos"/>
                <w:b w:val="0"/>
                <w:color w:val="1F2933"/>
                <w:sz w:val="17"/>
              </w:rPr>
              <w:t>Shows how the evidence template can be completed.</w:t>
            </w:r>
          </w:p>
        </w:tc>
      </w:tr>
      <w:tr>
        <w:trPr>
          <w:cantSplit/>
        </w:trPr>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7"/>
              </w:rPr>
              <w:t>Contract Manager Business Continuity Assurance Checklist</w:t>
            </w:r>
          </w:p>
        </w:tc>
        <w:tc>
          <w:tcPr>
            <w:tcW w:type="dxa" w:w="5141"/>
            <w:vAlign w:val="center"/>
            <w:tcMar>
              <w:top w:w="120" w:type="dxa"/>
              <w:start w:w="120" w:type="dxa"/>
              <w:bottom w:w="120" w:type="dxa"/>
              <w:end w:w="120" w:type="dxa"/>
            </w:tcMar>
          </w:tcPr>
          <w:p>
            <w:pPr>
              <w:spacing w:after="0" w:line="252" w:lineRule="auto"/>
              <w:jc w:val="left"/>
            </w:pPr>
            <w:r/>
            <w:r>
              <w:rPr>
                <w:rFonts w:ascii="Aptos" w:hAnsi="Aptos"/>
                <w:b w:val="0"/>
                <w:color w:val="1F2933"/>
                <w:sz w:val="17"/>
              </w:rPr>
              <w:t>Supports the client review, decision and follow-up actions.</w:t>
            </w:r>
          </w:p>
        </w:tc>
      </w:tr>
    </w:tbl>
    <w:tbl>
      <w:tblPr>
        <w:tblW w:type="auto" w:w="0"/>
        <w:jc w:val="center"/>
        <w:tblLook w:firstColumn="1" w:firstRow="1" w:lastColumn="0" w:lastRow="0" w:noHBand="0" w:noVBand="1" w:val="04A0"/>
      </w:tblPr>
      <w:tblGrid>
        <w:gridCol w:w="10282"/>
      </w:tblGrid>
      <w:tr>
        <w:tc>
          <w:tcPr>
            <w:tcW w:type="dxa" w:w="10282"/>
            <w:shd w:fill="EAF5F4"/>
            <w:tcMar>
              <w:top w:w="170" w:type="dxa"/>
              <w:start w:w="170" w:type="dxa"/>
              <w:bottom w:w="170" w:type="dxa"/>
              <w:end w:w="170" w:type="dxa"/>
            </w:tcMar>
          </w:tcPr>
          <w:p>
            <w:pPr>
              <w:spacing w:after="60"/>
            </w:pPr>
            <w:r/>
            <w:r>
              <w:rPr>
                <w:rFonts w:ascii="Aptos Display" w:hAnsi="Aptos Display"/>
                <w:b/>
                <w:color w:val="007A78"/>
                <w:sz w:val="22"/>
              </w:rPr>
              <w:t>FINAL MESSAGE</w:t>
            </w:r>
          </w:p>
          <w:p>
            <w:pPr>
              <w:spacing w:after="0" w:line="259" w:lineRule="auto"/>
            </w:pPr>
            <w:r>
              <w:rPr>
                <w:rFonts w:ascii="Aptos" w:hAnsi="Aptos"/>
                <w:color w:val="1F2933"/>
                <w:sz w:val="18"/>
              </w:rPr>
              <w:t>The purpose of assurance is not to create unnecessary paperwork. It is to give both the contractor and the client confidence that important services can continue, disruption will be communicated and managed, and recovery arrangements are realistic.</w:t>
            </w:r>
          </w:p>
        </w:tc>
      </w:tr>
    </w:tbl>
    <w:sectPr w:rsidR="00FC693F" w:rsidRPr="0006063C" w:rsidSect="00034616">
      <w:headerReference w:type="default" r:id="rId9"/>
      <w:footerReference w:type="default" r:id="rId10"/>
      <w:pgSz w:w="12240" w:h="15840"/>
      <w:pgMar w:top="893" w:right="979" w:bottom="893" w:left="979"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7085"/>
        <w:sz w:val="16"/>
      </w:rPr>
      <w:t>Contractor Business Continuity Assurance Guide | Suffolk SME Business Continuity Toolkit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007A78"/>
        <w:sz w:val="16"/>
      </w:rPr>
      <w:t>SUFFOLK SME BUSINESS CONTINUITY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ptos Display" w:hAnsi="Aptos Display"/>
      <w:b/>
      <w:bCs/>
      <w:color w:val="143B53"/>
      <w:sz w:val="40"/>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ptos Display" w:hAnsi="Aptos Display"/>
      <w:b/>
      <w:bCs/>
      <w:color w:val="007A78"/>
      <w:sz w:val="26"/>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ptos Display" w:hAnsi="Aptos Display"/>
      <w:b/>
      <w:bCs/>
      <w:color w:val="F5822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Contractor Business Continuity Assurance Guide</dc:title>
  <dc:subject>Supplier-facing guidance on business continuity assurance requirements</dc:subject>
  <dc:creator>Gill Muncaster (JEPU)</dc:creator>
  <keywords/>
  <dc:description>generated by python-docx</dc:description>
  <lastModifiedBy>Gill Muncaster (JEPU)</lastModifiedBy>
  <revision>1</revision>
  <dcterms:created xsi:type="dcterms:W3CDTF">2026-09-17T13:46:12.6112837Z</dcterms:created>
  <dcterms:modified xsi:type="dcterms:W3CDTF">2026-09-17T13:46:12.6112837Z</dcterms:modified>
  <category/>
</coreProperties>
</file>