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b/>
          <w:color w:val="F58220"/>
          <w:sz w:val="36"/>
        </w:rPr>
        <w:t>Suffolk SME</w:t>
      </w:r>
    </w:p>
    <w:p>
      <w:pPr>
        <w:jc w:val="center"/>
      </w:pPr>
      <w:r>
        <w:rPr>
          <w:b/>
          <w:color w:val="143B53"/>
          <w:sz w:val="54"/>
        </w:rPr>
        <w:t>Business Continuity Toolkit</w:t>
      </w:r>
    </w:p>
    <w:p>
      <w:pPr>
        <w:spacing w:before="480"/>
        <w:jc w:val="center"/>
      </w:pPr>
      <w:r>
        <w:rPr>
          <w:b/>
          <w:color w:val="007A78"/>
          <w:sz w:val="48"/>
        </w:rPr>
        <w:t>CONTRACTOR BUSINESS CONTINUITY SELF-CHECK</w:t>
      </w:r>
    </w:p>
    <w:p>
      <w:pPr>
        <w:jc w:val="center"/>
      </w:pPr>
      <w:r>
        <w:t>A practical readiness check for contractors and subcontractors</w:t>
      </w:r>
    </w:p>
    <w:tbl>
      <w:tblPr>
        <w:tblW w:type="auto" w:w="0"/>
        <w:tblLook w:firstColumn="1" w:firstRow="1" w:lastColumn="0" w:lastRow="0" w:noHBand="0" w:noVBand="1" w:val="04A0"/>
      </w:tblPr>
      <w:tblGrid>
        <w:gridCol w:w="10368"/>
      </w:tblGrid>
      <w:tr>
        <w:tc>
          <w:tcPr>
            <w:tcW w:type="dxa" w:w="10368"/>
            <w:shd w:fill="FFF3E8"/>
            <w:tcMar>
              <w:top w:w="160" w:type="dxa"/>
              <w:start w:w="160" w:type="dxa"/>
              <w:bottom w:w="160" w:type="dxa"/>
              <w:end w:w="160" w:type="dxa"/>
            </w:tcMar>
          </w:tcPr>
          <w:p>
            <w:r/>
            <w:r>
              <w:rPr>
                <w:b/>
                <w:color w:val="007A78"/>
                <w:sz w:val="22"/>
              </w:rPr>
              <w:t>COMPLETE BEFORE TENDER OR REVIEW</w:t>
            </w:r>
          </w:p>
          <w:p>
            <w:pPr>
              <w:spacing w:after="0"/>
            </w:pPr>
            <w:r>
              <w:t>Practical, proportionate and designed to support clear business continuity assurance.</w:t>
            </w:r>
          </w:p>
        </w:tc>
      </w:tr>
    </w:tbl>
    <w:p>
      <w:r>
        <w:br w:type="page"/>
      </w:r>
    </w:p>
    <w:p>
      <w:pPr>
        <w:pStyle w:val="Heading1"/>
        <w:keepNext/>
      </w:pPr>
      <w:r>
        <w:t>About this self-check</w:t>
      </w:r>
    </w:p>
    <w:p>
      <w:r>
        <w:t>Use this checklist to test whether your existing continuity arrangements are robust. Tick one response for each check and record the evidence available or the action needed. Use Partly where an arrangement exists but is incomplete, out of date or untested.</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Business / organisation</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Service / contract</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Completed by</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Date completed</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Document owner</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Next review</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bl>
    <w:tbl>
      <w:tblPr>
        <w:tblW w:type="auto" w:w="0"/>
        <w:tblLook w:firstColumn="1" w:firstRow="1" w:lastColumn="0" w:lastRow="0" w:noHBand="0" w:noVBand="1" w:val="04A0"/>
      </w:tblPr>
      <w:tblGrid>
        <w:gridCol w:w="10368"/>
      </w:tblGrid>
      <w:tr>
        <w:tc>
          <w:tcPr>
            <w:tcW w:type="dxa" w:w="10368"/>
            <w:shd w:fill="EAF5F4"/>
            <w:tcMar>
              <w:top w:w="160" w:type="dxa"/>
              <w:start w:w="160" w:type="dxa"/>
              <w:bottom w:w="160" w:type="dxa"/>
              <w:end w:w="160" w:type="dxa"/>
            </w:tcMar>
          </w:tcPr>
          <w:p>
            <w:r/>
            <w:r>
              <w:rPr>
                <w:b/>
                <w:color w:val="007A78"/>
                <w:sz w:val="22"/>
              </w:rPr>
              <w:t>HOW TO USE THE RESULT</w:t>
            </w:r>
          </w:p>
          <w:p>
            <w:pPr>
              <w:spacing w:after="0"/>
            </w:pPr>
            <w:r>
              <w:t>Yes: suitable evidence is available. Partly: improvement is needed. No: an arrangement is missing. Record gaps honestly and assign actions, owners and dates.</w:t>
            </w:r>
          </w:p>
        </w:tc>
      </w:tr>
    </w:tbl>
    <w:p>
      <w:pPr>
        <w:pStyle w:val="Heading2"/>
        <w:keepNext/>
      </w:pPr>
      <w:r>
        <w:t>1. Ownership and governance</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7"/>
              </w:rPr>
              <w:t>Assurance check</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Yes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Partly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action</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A named person owns the continuity arrangements.</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The arrangements have senior approval.</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A current version and review date are recorded.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Deputies are identified for critical leadership roles.</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Relevant staff understand their responsibilities.</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r>
        <w:br w:type="page"/>
      </w:r>
    </w:p>
    <w:p>
      <w:pPr>
        <w:pStyle w:val="Heading2"/>
        <w:keepNext/>
      </w:pPr>
      <w:r>
        <w:t>2. Service priorities and recovery</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7"/>
              </w:rPr>
              <w:t>Assurance check</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Yes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Partly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action</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Critical contracted activities are identified.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Minimum service levels during disruption are defined.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Recovery times are realistic and align with contract needs.</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Minimum staffing and specialist skills are understood.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Practical workarounds or alternative delivery arrangements exist.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pPr>
        <w:pStyle w:val="Heading2"/>
        <w:keepNext/>
      </w:pPr>
      <w:r>
        <w:t>3. Communication and escalation</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7"/>
              </w:rPr>
              <w:t>Assurance check</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Yes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Partly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action</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There is a clear trigger for activating continuity arrangements.</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The client notification trigger and route are documented.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Staff communication arrangements are available if normal systems fail.</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Supplier and subcontractor escalation contacts are current.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Important decisions and actions can be recorded during disruption.</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r>
        <w:br w:type="page"/>
      </w:r>
    </w:p>
    <w:p>
      <w:pPr>
        <w:pStyle w:val="Heading2"/>
        <w:keepNext/>
      </w:pPr>
      <w:r>
        <w:t>4. Dependencies and alternatives</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7"/>
              </w:rPr>
              <w:t>Assurance check</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Yes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Partly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action</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Key staff and specialist-role dependencies are identified.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Premises, site access, utilities, vehicles, plant and equipment are considered.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Essential IT, telephony, data and backup arrangements are understood.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Critical suppliers and subcontractors are identified.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Suitable alternatives or contingencies have been considered.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pPr>
        <w:pStyle w:val="Heading2"/>
        <w:keepNext/>
      </w:pPr>
      <w:r>
        <w:t>5. Testing, learning and maintenance</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7"/>
              </w:rPr>
              <w:t>Assurance check</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Yes</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Partly</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20"/>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Evidence / action</w:t>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Arrangements have been tested or exercised within the last 12 months.</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Relevant staff have been briefed or trained.</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Findings and lessons have been recorded.</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Improvement actions have owners and target dates.</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6"/>
              </w:rPr>
            </w:r>
          </w:p>
        </w:tc>
      </w:tr>
      <w:tr>
        <w:trPr>
          <w:cantSplit/>
        </w:trPr>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Arrangements are reviewed after significant change or disruption.</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20"/>
              </w:rPr>
              <w:t>☐</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6"/>
              </w:rPr>
            </w:r>
          </w:p>
        </w:tc>
      </w:tr>
    </w:tbl>
    <w:p>
      <w:r>
        <w:br w:type="page"/>
      </w:r>
    </w:p>
    <w:p>
      <w:pPr>
        <w:pStyle w:val="Heading2"/>
        <w:keepNext/>
      </w:pPr>
      <w:r>
        <w:t>6. Key disruptions considered</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trPr>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Risk</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Considered</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Risk</w:t>
            </w:r>
          </w:p>
        </w:tc>
        <w:tc>
          <w:tcPr>
            <w:tcW w:type="dxa" w:w="2592"/>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Considered</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Fire or flood</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Severe weather</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Power or utilities failure</w:t>
            </w:r>
          </w:p>
        </w:tc>
        <w:tc>
          <w:tcPr>
            <w:tcW w:type="dxa" w:w="2592"/>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IT or telephony failure</w:t>
            </w:r>
          </w:p>
        </w:tc>
        <w:tc>
          <w:tcPr>
            <w:tcW w:type="dxa" w:w="2592"/>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Cyber attack</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Staff shortage or key-person loss</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r>
      <w:tr>
        <w:trPr>
          <w:cantSplit/>
        </w:trPr>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Supply-chain disruption</w:t>
            </w:r>
          </w:p>
        </w:tc>
        <w:tc>
          <w:tcPr>
            <w:tcW w:type="dxa" w:w="2592"/>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w:t>
            </w:r>
          </w:p>
        </w:tc>
        <w:tc>
          <w:tcPr>
            <w:tcW w:type="dxa" w:w="2592"/>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Subcontractor failure</w:t>
            </w:r>
          </w:p>
        </w:tc>
        <w:tc>
          <w:tcPr>
            <w:tcW w:type="dxa" w:w="2592"/>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w:t>
            </w:r>
          </w:p>
        </w:tc>
      </w:tr>
      <w:tr>
        <w:trPr>
          <w:cantSplit/>
        </w:trPr>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Vehicle or plant breakdown</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c>
          <w:tcPr>
            <w:tcW w:type="dxa" w:w="2592"/>
            <w:vAlign w:val="center"/>
            <w:tcMar>
              <w:top w:w="110" w:type="dxa"/>
              <w:start w:w="110" w:type="dxa"/>
              <w:bottom w:w="110" w:type="dxa"/>
              <w:end w:w="110" w:type="dxa"/>
            </w:tcMar>
          </w:tcPr>
          <w:p>
            <w:pPr>
              <w:spacing w:after="0" w:line="245" w:lineRule="auto"/>
              <w:jc w:val="left"/>
            </w:pPr>
            <w:r/>
            <w:r>
              <w:rPr>
                <w:rFonts w:ascii="Aptos" w:hAnsi="Aptos"/>
                <w:b w:val="0"/>
                <w:color w:val="1F2933"/>
                <w:sz w:val="17"/>
              </w:rPr>
              <w:t>Site closure / denial of access</w:t>
            </w:r>
          </w:p>
        </w:tc>
        <w:tc>
          <w:tcPr>
            <w:tcW w:type="dxa" w:w="2592"/>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w:t>
            </w:r>
          </w:p>
        </w:tc>
      </w:tr>
    </w:tbl>
    <w:p>
      <w:pPr>
        <w:pStyle w:val="Heading1"/>
        <w:keepNext/>
      </w:pPr>
      <w:r>
        <w:t>Priority actions</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trPr>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No.</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Improvement action</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Owner</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Target date</w:t>
            </w:r>
          </w:p>
        </w:tc>
        <w:tc>
          <w:tcPr>
            <w:tcW w:type="dxa" w:w="207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Status</w:t>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1</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2</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3</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4</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r>
        <w:trPr>
          <w:cantSplit/>
        </w:trPr>
        <w:tc>
          <w:tcPr>
            <w:tcW w:type="dxa" w:w="2074"/>
            <w:vAlign w:val="center"/>
            <w:tcMar>
              <w:top w:w="110" w:type="dxa"/>
              <w:start w:w="110" w:type="dxa"/>
              <w:bottom w:w="110" w:type="dxa"/>
              <w:end w:w="110" w:type="dxa"/>
            </w:tcMar>
          </w:tcPr>
          <w:p>
            <w:pPr>
              <w:spacing w:after="0" w:line="245" w:lineRule="auto"/>
              <w:jc w:val="center"/>
            </w:pPr>
            <w:r/>
            <w:r>
              <w:rPr>
                <w:rFonts w:ascii="Aptos" w:hAnsi="Aptos"/>
                <w:b w:val="0"/>
                <w:color w:val="1F2933"/>
                <w:sz w:val="17"/>
              </w:rPr>
              <w:t>5</w:t>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2074"/>
            <w:vAlign w:val="center"/>
            <w:tcMar>
              <w:top w:w="110" w:type="dxa"/>
              <w:start w:w="110" w:type="dxa"/>
              <w:bottom w:w="110" w:type="dxa"/>
              <w:end w:w="110" w:type="dxa"/>
            </w:tcMar>
            <w:shd w:fill="F3F6F8"/>
          </w:tcPr>
          <w:p>
            <w:pPr>
              <w:spacing w:after="0" w:line="245" w:lineRule="auto"/>
              <w:jc w:val="center"/>
            </w:pPr>
            <w:r/>
            <w:r>
              <w:rPr>
                <w:rFonts w:ascii="Aptos" w:hAnsi="Aptos"/>
                <w:b w:val="0"/>
                <w:color w:val="1F2933"/>
                <w:sz w:val="17"/>
              </w:rPr>
              <w:t>6</w:t>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c>
          <w:tcPr>
            <w:tcW w:type="dxa" w:w="207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bl>
    <w:p>
      <w:pPr>
        <w:pStyle w:val="Heading1"/>
        <w:keepNext/>
      </w:pPr>
      <w:r>
        <w:t>Self-check outcome</w:t>
      </w:r>
    </w:p>
    <w:tbl>
      <w:tblPr>
        <w:tblW w:type="auto" w:w="0"/>
        <w:jc w:val="center"/>
        <w:tblLayout w:type="fixed"/>
        <w:tblLook w:firstColumn="1" w:firstRow="1" w:lastColumn="0" w:lastRow="0" w:noHBand="0" w:noVBand="1" w:val="04A0"/>
      </w:tblPr>
      <w:tblGrid>
        <w:gridCol w:w="5184"/>
        <w:gridCol w:w="5184"/>
      </w:tblGrid>
      <w:tr>
        <w:trPr>
          <w:tblHeader w:val="true"/>
        </w:trPr>
        <w:tc>
          <w:tcPr>
            <w:tcW w:type="dxa" w:w="518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Field</w:t>
            </w:r>
          </w:p>
        </w:tc>
        <w:tc>
          <w:tcPr>
            <w:tcW w:type="dxa" w:w="5184"/>
            <w:vAlign w:val="center"/>
            <w:tcMar>
              <w:top w:w="110" w:type="dxa"/>
              <w:start w:w="110" w:type="dxa"/>
              <w:bottom w:w="110" w:type="dxa"/>
              <w:end w:w="110" w:type="dxa"/>
            </w:tcMar>
            <w:shd w:fill="143B53"/>
          </w:tcPr>
          <w:p>
            <w:pPr>
              <w:spacing w:after="0" w:line="245" w:lineRule="auto"/>
              <w:jc w:val="center"/>
            </w:pPr>
            <w:r/>
            <w:r>
              <w:rPr>
                <w:rFonts w:ascii="Aptos" w:hAnsi="Aptos"/>
                <w:b/>
                <w:color w:val="FFFFFF"/>
                <w:sz w:val="16"/>
              </w:rPr>
              <w:t>Response</w:t>
            </w:r>
          </w:p>
        </w:tc>
      </w:tr>
      <w:tr>
        <w:trPr>
          <w:cantSplit/>
        </w:trPr>
        <w:tc>
          <w:tcPr>
            <w:tcW w:type="dxa" w:w="518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Overall readiness</w:t>
            </w:r>
          </w:p>
        </w:tc>
        <w:tc>
          <w:tcPr>
            <w:tcW w:type="dxa" w:w="518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 Ready  ☐ Ready with actions  ☐ Significant improvement needed</w:t>
            </w:r>
          </w:p>
        </w:tc>
      </w:tr>
      <w:tr>
        <w:trPr>
          <w:cantSplit/>
        </w:trPr>
        <w:tc>
          <w:tcPr>
            <w:tcW w:type="dxa" w:w="518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Main strengths</w:t>
            </w:r>
          </w:p>
        </w:tc>
        <w:tc>
          <w:tcPr>
            <w:tcW w:type="dxa" w:w="518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r>
        <w:trPr>
          <w:cantSplit/>
        </w:trPr>
        <w:tc>
          <w:tcPr>
            <w:tcW w:type="dxa" w:w="5184"/>
            <w:vAlign w:val="center"/>
            <w:tcMar>
              <w:top w:w="110" w:type="dxa"/>
              <w:start w:w="110" w:type="dxa"/>
              <w:bottom w:w="110" w:type="dxa"/>
              <w:end w:w="110" w:type="dxa"/>
            </w:tcMar>
          </w:tcPr>
          <w:p>
            <w:pPr>
              <w:spacing w:after="0" w:line="245" w:lineRule="auto"/>
              <w:jc w:val="left"/>
            </w:pPr>
            <w:r/>
            <w:r>
              <w:rPr>
                <w:rFonts w:ascii="Aptos" w:hAnsi="Aptos"/>
                <w:b w:val="0"/>
                <w:color w:val="1F2933"/>
                <w:sz w:val="17"/>
              </w:rPr>
              <w:t>Most important gaps</w:t>
            </w:r>
          </w:p>
        </w:tc>
        <w:tc>
          <w:tcPr>
            <w:tcW w:type="dxa" w:w="5184"/>
            <w:vAlign w:val="center"/>
            <w:tcMar>
              <w:top w:w="110" w:type="dxa"/>
              <w:start w:w="110" w:type="dxa"/>
              <w:bottom w:w="110" w:type="dxa"/>
              <w:end w:w="110" w:type="dxa"/>
            </w:tcMar>
          </w:tcPr>
          <w:p>
            <w:pPr>
              <w:spacing w:after="0" w:line="245" w:lineRule="auto"/>
              <w:jc w:val="left"/>
            </w:pPr>
            <w:r/>
            <w:r>
              <w:rPr>
                <w:rFonts w:ascii="Aptos" w:hAnsi="Aptos"/>
                <w:b w:val="0"/>
                <w:color w:val="1F2933"/>
                <w:sz w:val="17"/>
              </w:rPr>
            </w:r>
          </w:p>
        </w:tc>
      </w:tr>
      <w:tr>
        <w:trPr>
          <w:cantSplit/>
        </w:trPr>
        <w:tc>
          <w:tcPr>
            <w:tcW w:type="dxa" w:w="518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t>Next review date</w:t>
            </w:r>
          </w:p>
        </w:tc>
        <w:tc>
          <w:tcPr>
            <w:tcW w:type="dxa" w:w="5184"/>
            <w:vAlign w:val="center"/>
            <w:tcMar>
              <w:top w:w="110" w:type="dxa"/>
              <w:start w:w="110" w:type="dxa"/>
              <w:bottom w:w="110" w:type="dxa"/>
              <w:end w:w="110" w:type="dxa"/>
            </w:tcMar>
            <w:shd w:fill="F3F6F8"/>
          </w:tcPr>
          <w:p>
            <w:pPr>
              <w:spacing w:after="0" w:line="245" w:lineRule="auto"/>
              <w:jc w:val="left"/>
            </w:pPr>
            <w:r/>
            <w:r>
              <w:rPr>
                <w:rFonts w:ascii="Aptos" w:hAnsi="Aptos"/>
                <w:b w:val="0"/>
                <w:color w:val="1F2933"/>
                <w:sz w:val="17"/>
              </w:rPr>
            </w:r>
          </w:p>
        </w:tc>
      </w:tr>
    </w:tbl>
    <w:tbl>
      <w:tblPr>
        <w:tblW w:type="auto" w:w="0"/>
        <w:tblLook w:firstColumn="1" w:firstRow="1" w:lastColumn="0" w:lastRow="0" w:noHBand="0" w:noVBand="1" w:val="04A0"/>
      </w:tblPr>
      <w:tblGrid>
        <w:gridCol w:w="10368"/>
      </w:tblGrid>
      <w:tr>
        <w:tc>
          <w:tcPr>
            <w:tcW w:type="dxa" w:w="10368"/>
            <w:shd w:fill="EAF5F4"/>
            <w:tcMar>
              <w:top w:w="160" w:type="dxa"/>
              <w:start w:w="160" w:type="dxa"/>
              <w:bottom w:w="160" w:type="dxa"/>
              <w:end w:w="160" w:type="dxa"/>
            </w:tcMar>
          </w:tcPr>
          <w:p>
            <w:r/>
            <w:r>
              <w:rPr>
                <w:b/>
                <w:color w:val="007A78"/>
                <w:sz w:val="22"/>
              </w:rPr>
              <w:t>NEXT STEP</w:t>
            </w:r>
          </w:p>
          <w:p>
            <w:pPr>
              <w:spacing w:after="0"/>
            </w:pPr>
            <w:r>
              <w:t>Complete the Contractor Evidence Template to summarise the service-specific arrangements and reference supporting evidence.</w:t>
            </w:r>
          </w:p>
        </w:tc>
      </w:tr>
    </w:tbl>
    <w:sectPr w:rsidR="00FC693F" w:rsidRPr="0006063C" w:rsidSect="00034616">
      <w:headerReference w:type="default" r:id="rId9"/>
      <w:footerReference w:type="default" r:id="rId10"/>
      <w:pgSz w:w="12240" w:h="15840"/>
      <w:pgMar w:top="893" w:right="936" w:bottom="893"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85"/>
        <w:sz w:val="16"/>
      </w:rPr>
      <w:t>Contractor Business Continuity Self-Check | Suffolk SME Business Continuity Toolkit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007A78"/>
        <w:sz w:val="16"/>
      </w:rPr>
      <w:t>SUFFOLK SME BUSINESS CONTINUITY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ptos Display" w:hAnsi="Aptos Display"/>
      <w:b/>
      <w:bCs/>
      <w:color w:val="143B53"/>
      <w:sz w:val="4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b/>
      <w:bCs/>
      <w:color w:val="007A7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02 Contractor Business Continuity Self Check</dc:title>
  <dc:subject/>
  <dc:creator>Gill Muncaster (JEPU)</dc:creator>
  <keywords/>
  <dc:description>generated by python-docx</dc:description>
  <lastModifiedBy>Gill Muncaster (JEPU)</lastModifiedBy>
  <revision>1</revision>
  <dcterms:created xsi:type="dcterms:W3CDTF">2026-09-17T13:46:14.2354060Z</dcterms:created>
  <dcterms:modified xsi:type="dcterms:W3CDTF">2026-09-17T13:46:14.2354060Z</dcterms:modified>
  <category/>
</coreProperties>
</file>